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Vermögensarrest-Beschluss des Amtsgerichts Mannheim vom 6. Februar 2026</w:t>
      </w:r>
    </w:p>
    <w:p>
      <w:pPr>
        <w:jc w:val="left"/>
      </w:pPr>
      <w:r>
        <w:rPr>
          <w:b/>
        </w:rPr>
        <w:t>Amtsgericht Mannheim</w:t>
      </w:r>
    </w:p>
    <w:p>
      <w:pPr>
        <w:jc w:val="left"/>
      </w:pPr>
      <w:r>
        <w:t>— Ermittlungsrichterin —</w:t>
      </w:r>
    </w:p>
    <w:p>
      <w:pPr>
        <w:jc w:val="left"/>
      </w:pPr>
      <w:r>
        <w:t>Schloss, Westflügel, 68159 Mannheim</w:t>
      </w:r>
    </w:p>
    <w:p>
      <w:pPr>
        <w:jc w:val="left"/>
      </w:pPr>
      <w:r>
        <w:t>Telefon: 0621 292-0</w:t>
      </w:r>
    </w:p>
    <w:p>
      <w:pPr>
        <w:jc w:val="left"/>
      </w:pPr>
      <w:r>
        <w:rPr>
          <w:b/>
        </w:rPr>
        <w:t>Aktenzeichen:</w:t>
      </w:r>
      <w:r>
        <w:t xml:space="preserve"> 42 Gs 214/26 (616 Js 20481/25 StA Mannheim)</w:t>
      </w:r>
    </w:p>
    <w:p>
      <w:pPr>
        <w:jc w:val="left"/>
      </w:pPr>
      <w:r>
        <w:t>Bl. 190–196 d. A.</w:t>
      </w:r>
    </w:p>
    <w:p>
      <w:pPr>
        <w:pStyle w:val="Heading2"/>
      </w:pPr>
      <w:r>
        <w:rPr>
          <w:rFonts w:ascii="Times New Roman" w:hAnsi="Times New Roman"/>
        </w:rPr>
        <w:t>Beschluss</w:t>
      </w:r>
    </w:p>
    <w:p>
      <w:pPr>
        <w:jc w:val="left"/>
      </w:pPr>
      <w:r>
        <w:t xml:space="preserve">In dem Ermittlungsverfahren gegen </w:t>
      </w:r>
      <w:r>
        <w:rPr>
          <w:b/>
        </w:rPr>
        <w:t>Holger Trautwein</w:t>
      </w:r>
      <w:r>
        <w:t>, geboren am 02.11.1974, wohnhaft Waldparkdamm 11, 68163 Mannheim, wegen des Verdachts des gewerbsmäßigen Betruges wird auf Antrag der Staatsanwaltschaft Mannheim beschlossen:</w:t>
      </w:r>
    </w:p>
    <w:p>
      <w:pPr>
        <w:jc w:val="left"/>
      </w:pPr>
      <w:r>
        <w:t xml:space="preserve">1 Zur Sicherung der Vollstreckung der Einziehung des Wertes von Taterträgen wird der </w:t>
      </w:r>
      <w:r>
        <w:rPr>
          <w:b/>
        </w:rPr>
        <w:t>Vermögensarrest in Höhe von 412.680,00 EUR</w:t>
      </w:r>
      <w:r>
        <w:t xml:space="preserve"> in das bewegliche und unbewegliche Vermögen des Beschuldigten angeordnet (§ 111e Abs. 1 StPO, §§ 73 Abs. 1, 73c Satz 1 StGB).</w:t>
      </w:r>
    </w:p>
    <w:p>
      <w:pPr>
        <w:jc w:val="left"/>
      </w:pPr>
      <w:r>
        <w:t xml:space="preserve">2 Zur Sicherung der Vollstreckung der Einziehung des Wertes von Taterträgen gegen die Drittbegünstigte wird der </w:t>
      </w:r>
      <w:r>
        <w:rPr>
          <w:b/>
        </w:rPr>
        <w:t>Vermögensarrest in Höhe von 66.000,00 EUR</w:t>
      </w:r>
      <w:r>
        <w:t xml:space="preserve"> in das Vermögen der </w:t>
      </w:r>
      <w:r>
        <w:rPr>
          <w:b/>
        </w:rPr>
        <w:t>Silvia Trautwein</w:t>
      </w:r>
      <w:r>
        <w:t>, geboren am 09.06.1977, wohnhaft ebenda, angeordnet (§ 111e Abs. 1 StPO, § 73b Abs. 1 Satz 1 Nr. 2, § 73c Satz 1 StGB).</w:t>
      </w:r>
    </w:p>
    <w:p>
      <w:pPr>
        <w:jc w:val="left"/>
      </w:pPr>
      <w:r>
        <w:t>3 Durch Hinterlegung des jeweiligen Geldbetrages wird die Vollziehung des Arrests gehemmt (§ 111e Abs. 4 StPO).</w:t>
      </w:r>
    </w:p>
    <w:p>
      <w:pPr>
        <w:pStyle w:val="Heading2"/>
      </w:pPr>
      <w:r>
        <w:rPr>
          <w:rFonts w:ascii="Times New Roman" w:hAnsi="Times New Roman"/>
        </w:rPr>
        <w:t>Gründe</w:t>
      </w:r>
    </w:p>
    <w:p>
      <w:pPr>
        <w:pStyle w:val="Heading3"/>
      </w:pPr>
      <w:r>
        <w:rPr>
          <w:rFonts w:ascii="Times New Roman" w:hAnsi="Times New Roman"/>
        </w:rPr>
        <w:t>1 Tatverdacht</w:t>
      </w:r>
    </w:p>
    <w:p>
      <w:pPr>
        <w:jc w:val="left"/>
      </w:pPr>
      <w:r>
        <w:t xml:space="preserve">Der Beschuldigte ist aufgrund der Strafanzeige der AOK Baden-Württemberg vom 18. September 2025, des Durchsuchungsberichts vom 25. November 2025 nebst GPS-Auswertung sowie der Aussage der Zeugin Kalinowska dringend verdächtig, in den Monatsabrechnungen Januar 2023 bis Dezember 2024 gegenüber drei gesetzlichen Kassen insgesamt 3.439 tatsächlich nicht erbrachte Pflegeeinsätze zu je 120,00 EUR abgerechnet und hierdurch </w:t>
      </w:r>
      <w:r>
        <w:rPr>
          <w:b/>
        </w:rPr>
        <w:t>412.680,00 EUR</w:t>
      </w:r>
      <w:r>
        <w:t xml:space="preserve"> erlangt zu haben (§ 263 Abs. 1, Abs. 3 Satz 2 Nr. 1 StGB). Als Inhaber des einzelkaufmännischen Unternehmens hat er die Kassenzahlungen unmittelbar für sein Vermögen erlangt. Von dem Geschäftskonto flossen ferner ab Januar 2024 monatlich 2.750,00 EUR ohne erkennbare Gegenleistung an die Ehefrau; für den Zeitraum Januar 2024 bis Dezember 2025 sind dies </w:t>
      </w:r>
      <w:r>
        <w:rPr>
          <w:b/>
        </w:rPr>
        <w:t>66.000,00 EUR</w:t>
      </w:r>
      <w:r>
        <w:t>, die die Drittbegünstigte im Sinne des § 73b Abs. 1 Satz 1 Nr. 2 StGB unentgeltlich beziehungsweise ohne rechtlichen Grund erlangt hat.</w:t>
      </w:r>
    </w:p>
    <w:p>
      <w:pPr>
        <w:pStyle w:val="Heading3"/>
      </w:pPr>
      <w:r>
        <w:rPr>
          <w:rFonts w:ascii="Times New Roman" w:hAnsi="Times New Roman"/>
        </w:rPr>
        <w:t>2 Sicherungsbedürfnis</w:t>
      </w:r>
    </w:p>
    <w:p>
      <w:pPr>
        <w:jc w:val="left"/>
      </w:pPr>
      <w:r>
        <w:t>Das Sicherungsbedürfnis folgt daraus, dass der Beschuldigte nach der Durchsuchung begonnen hat, Vermögenswerte umzuschichten: Nach der Kontenauswertung wurden im Dezember 2025 Guthaben von über 60.000,00 EUR auf ein neu eröffnetes Konto übertragen und ein Maklerauftrag für das Hausgrundstück Waldparkdamm 11 erteilt. Ohne Arrest ist zu besorgen, dass die Vollstreckung der Wertersatzeinziehung vereitelt oder wesentlich erschwert wird.</w:t>
      </w:r>
    </w:p>
    <w:p>
      <w:pPr>
        <w:pStyle w:val="Heading3"/>
      </w:pPr>
      <w:r>
        <w:rPr>
          <w:rFonts w:ascii="Times New Roman" w:hAnsi="Times New Roman"/>
        </w:rPr>
        <w:t>3 Verhältnismäßigkeit</w:t>
      </w:r>
    </w:p>
    <w:p>
      <w:pPr>
        <w:jc w:val="left"/>
      </w:pPr>
      <w:r>
        <w:t>Der Arrest ist verhältnismäßig. Die Höhe entspricht dem nach dem Bruttoprinzip Erlangten; ersparte Aufwendungen oder Abzugspositionen sind im Erkenntnisverfahren zu klären und stehen der Sicherung in voller Höhe nicht entgegen. Die Vollziehung in das Hausgrundstück (hälftiger Miteigentumsanteil des Beschuldigten, Grundbuch von Mannheim-Lindenhof Blatt 4127) ist als Sicherungsmaßnahme zulässig; sie entzieht dem Beschuldigten nicht die Nutzung, sondern verhindert lediglich die Verwertung. Der Verweis der Geschädigten auf den Zivilrechtsweg wäre kein gleich wirksames Mittel.</w:t>
      </w:r>
    </w:p>
    <w:p>
      <w:pPr>
        <w:jc w:val="left"/>
      </w:pPr>
      <w:r>
        <w:t>Dr. Salm</w:t>
      </w:r>
    </w:p>
    <w:p>
      <w:pPr>
        <w:jc w:val="left"/>
      </w:pPr>
      <w:r>
        <w:t>Richterin am Amtsgericht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Mannheim</w:t>
    </w:r>
  </w:p>
  <w:p>
    <w:pPr>
      <w:jc w:val="left"/>
      <w:pBdr>
        <w:bottom w:val="single" w:sz="6" w:space="2" w:color="3B3F45"/>
      </w:pBdr>
    </w:pPr>
    <w:r>
      <w:rPr>
        <w:rFonts w:ascii="Times New Roman" w:hAnsi="Times New Roman"/>
        <w:color w:val="6B6B66"/>
        <w:sz w:val="16"/>
      </w:rPr>
      <w:t>Gericht · Aktenzeichen: 42 Gs 214/26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