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der Staatsanwaltschaft zu den Zahlungen an die Ehefrau (5. März 2026)</w:t>
      </w:r>
    </w:p>
    <w:p>
      <w:pPr>
        <w:jc w:val="left"/>
      </w:pPr>
      <w:r>
        <w:rPr>
          <w:b/>
        </w:rPr>
        <w:t>Staatsanwaltschaft Mannheim</w:t>
      </w:r>
    </w:p>
    <w:p>
      <w:pPr>
        <w:jc w:val="left"/>
      </w:pPr>
      <w:r>
        <w:t>Abteilung 6 — Wirtschaftsstrafsachen</w:t>
      </w:r>
    </w:p>
    <w:p>
      <w:pPr>
        <w:jc w:val="left"/>
      </w:pPr>
      <w:r>
        <w:t>A 1, 68159 Mannheim | Telefon: 0621 292-0</w:t>
      </w:r>
    </w:p>
    <w:p>
      <w:pPr>
        <w:jc w:val="left"/>
      </w:pPr>
      <w:r>
        <w:rPr>
          <w:b/>
        </w:rPr>
        <w:t>Aktenzeichen:</w:t>
      </w:r>
      <w:r>
        <w:t xml:space="preserve"> 616 Js 20481/25</w:t>
      </w:r>
    </w:p>
    <w:p>
      <w:pPr>
        <w:jc w:val="left"/>
      </w:pPr>
      <w:r>
        <w:t>Mannheim, den 5. März 2026</w:t>
      </w:r>
    </w:p>
    <w:p>
      <w:pPr>
        <w:jc w:val="left"/>
      </w:pPr>
      <w:r>
        <w:t>Bl. 218–220 d. A.</w:t>
      </w:r>
    </w:p>
    <w:p>
      <w:pPr>
        <w:pStyle w:val="Heading2"/>
      </w:pPr>
      <w:r>
        <w:rPr>
          <w:rFonts w:ascii="Times New Roman" w:hAnsi="Times New Roman"/>
        </w:rPr>
        <w:t>Vermerk (Einziehung gegen die Drittbegünstigte, § 73b StGB)</w:t>
      </w:r>
    </w:p>
    <w:p>
      <w:pPr>
        <w:jc w:val="left"/>
      </w:pPr>
      <w:r>
        <w:t xml:space="preserve">1 Nach der Kontenauswertung (Asservat 2.3; Kontoverdichtung Bl. 165 ff. d. A.) überwies der Beschuldigte vom Geschäftskonto des Pflegedienstes in der Zeit von </w:t>
      </w:r>
      <w:r>
        <w:rPr>
          <w:b/>
        </w:rPr>
        <w:t>Januar 2024 bis Dezember 2025</w:t>
      </w:r>
      <w:r>
        <w:t xml:space="preserve"> in jedem Monat 2.750,00 EUR, zusammen </w:t>
      </w:r>
      <w:r>
        <w:rPr>
          <w:b/>
        </w:rPr>
        <w:t>66.000,00 EUR</w:t>
      </w:r>
      <w:r>
        <w:t xml:space="preserve"> (24 Monate), auf das Einzelkonto seiner Ehefrau Silvia Trautwein mit dem Verwendungszweck "Bürotätigkeit/Verwaltung".</w:t>
      </w:r>
    </w:p>
    <w:p>
      <w:pPr>
        <w:jc w:val="left"/>
      </w:pPr>
      <w:r>
        <w:t>2 Eine Gegenleistung ist nicht feststellbar. Es existiert kein Arbeitsvertrag, keine Lohnabrechnung, keine Meldung zur Sozialversicherung und kein Lohnsteuerabzug; die Ehefrau erscheint in keinem Dienstplan. Die Zeuginnen Kalinowska (Bl. 131 ff. d. A.) und Grimmer (Bl. 141 ff. d. A.) haben übereinstimmend bekundet, die Ehefrau sei im Betrieb nie tätig gewesen. Der Beschuldigte hat in seiner Vernehmung vom 14. Januar 2026 pauschal auf häusliche Verwaltungsarbeiten verwiesen, ohne diese zu konkretisieren.</w:t>
      </w:r>
    </w:p>
    <w:p>
      <w:pPr>
        <w:jc w:val="left"/>
      </w:pPr>
      <w:r>
        <w:t>3 Rechtlich kommt die Einziehung des Wertes von Taterträgen gegen die Ehefrau als andere im Sinne des § 73b Abs. 1 Satz 1 Nr. 2 StGB in Betracht: Ihr wurde das aus den Taten Erlangte — Kassenzahlungen, die auf dem Geschäftskonto mit legalen Einnahmen vermischt waren — unentgeltlich beziehungsweise ohne rechtlichen Grund übertragen. Da die Tatzeiträume der Anklage (bis Dezember 2024) und die Überweisungsreihe (ab Januar 2024) sich nur teilweise decken, wird für die Anklage klargestellt: Die Übertragungen ab Januar 2025 stammen wertmäßig aus den bis Dezember 2024 vereinnahmten Tatentgelten, die zum Jahreswechsel 2024/2025 auf dem Geschäftskonto noch nicht verbraucht waren (Saldo am 31.12.2024: 214.386,52 EUR bei bis dahin aufgelaufenen Tatzuflüssen von 412.680,00 EUR); der Zufluss beim Beschuldigten bleibt hiervon unberührt, eine Doppelabschöpfung ist durch gesamtschuldnerische Haftungsanordnung in Höhe des Überschneidungsbetrages zu vermeiden.</w:t>
      </w:r>
    </w:p>
    <w:p>
      <w:pPr>
        <w:jc w:val="left"/>
      </w:pPr>
      <w:r>
        <w:t>4 Der Ehefrau ist im Fall der Anklageerhebung die Stellung einer Einziehungsbeteiligten einzuräumen (§ 424 StPO). Für eine gutgläubige entgeltliche Erwerberin (§ 73b Abs. 1 Satz 2 StGB) bestehen keine Anhaltspunkte; auf den WhatsApp-Verlauf (Asservat 2.1, Auszug in der Beweismittelakte), in dem die Ehefrau die Zahlungen selbst hinterfragt, wird verwiesen.</w:t>
      </w:r>
    </w:p>
    <w:p>
      <w:pPr>
        <w:jc w:val="left"/>
      </w:pPr>
      <w:r>
        <w:t>Dr. Vogelsang</w:t>
      </w:r>
    </w:p>
    <w:p>
      <w:pPr>
        <w:jc w:val="left"/>
      </w:pPr>
      <w:r>
        <w:t>Oberstaatsanwalt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Vermerk der Staatsanwaltschaft zu den Zahlungen an die Ehefrau (5. März 2026)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Vermerk der Staatsanwaltschaft zu den Zahlungen an die Ehefrau (5. März 2026)</w:t>
    </w:r>
  </w:p>
  <w:p>
    <w:pPr>
      <w:jc w:val="left"/>
      <w:pBdr>
        <w:bottom w:val="single" w:sz="6" w:space="2" w:color="3B3F45"/>
      </w:pBdr>
    </w:pPr>
    <w:r>
      <w:rPr>
        <w:rFonts w:ascii="Times New Roman" w:hAnsi="Times New Roman"/>
        <w:color w:val="6B6B66"/>
        <w:sz w:val="16"/>
      </w:rPr>
      <w:t>Gericht · Aktenzeichen: 616 Js 20481/25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