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Anklageschrift der Staatsanwaltschaft Mannheim vom 22. April 2026</w:t>
      </w:r>
    </w:p>
    <w:p>
      <w:pPr>
        <w:jc w:val="left"/>
      </w:pPr>
      <w:r>
        <w:rPr>
          <w:b/>
        </w:rPr>
        <w:t>Staatsanwaltschaft Mannheim</w:t>
      </w:r>
    </w:p>
    <w:p>
      <w:pPr>
        <w:jc w:val="left"/>
      </w:pPr>
      <w:r>
        <w:t>Abteilung 6 — Wirtschaftsstrafsachen</w:t>
      </w:r>
    </w:p>
    <w:p>
      <w:pPr>
        <w:jc w:val="left"/>
      </w:pPr>
      <w:r>
        <w:t>A 1, 68159 Mannheim</w:t>
      </w:r>
    </w:p>
    <w:p>
      <w:pPr>
        <w:jc w:val="left"/>
      </w:pPr>
      <w:r>
        <w:t>Telefon: 0621 292-0 | Telefax: 0621 292-2685</w:t>
      </w:r>
    </w:p>
    <w:p>
      <w:pPr>
        <w:jc w:val="left"/>
      </w:pPr>
      <w:r>
        <w:rPr>
          <w:b/>
        </w:rPr>
        <w:t>Aktenzeichen:</w:t>
      </w:r>
      <w:r>
        <w:t xml:space="preserve"> 616 Js 20481/25</w:t>
      </w:r>
    </w:p>
    <w:p>
      <w:pPr>
        <w:jc w:val="left"/>
      </w:pPr>
      <w:r>
        <w:t>Mannheim, den 22. April 2026</w:t>
      </w:r>
    </w:p>
    <w:p>
      <w:pPr>
        <w:jc w:val="left"/>
      </w:pPr>
      <w:r>
        <w:rPr>
          <w:b/>
        </w:rPr>
        <w:t>An das Landgericht Mannheim — Wirtschaftsstrafkammer —, A 1, 68159 Mannheim</w:t>
      </w:r>
    </w:p>
    <w:p>
      <w:pPr>
        <w:jc w:val="left"/>
      </w:pPr>
      <w:r>
        <w:rPr>
          <w:i/>
        </w:rPr>
        <w:t>Zustellweg: elektronisch (§ 32b StPO); Aktenübergabe (Hauptakte Bände I–IV, Beweismittelakte, Sonderband Vermögensabschöpfung)</w:t>
      </w:r>
    </w:p>
    <w:p>
      <w:pPr>
        <w:pStyle w:val="Heading2"/>
      </w:pPr>
      <w:r>
        <w:rPr>
          <w:rFonts w:ascii="Times New Roman" w:hAnsi="Times New Roman"/>
        </w:rPr>
        <w:t>Anklageschrift</w:t>
      </w:r>
    </w:p>
    <w:p>
      <w:pPr>
        <w:jc w:val="left"/>
      </w:pPr>
      <w:r>
        <w:t>In der Strafsache gegen</w:t>
      </w:r>
    </w:p>
    <w:p>
      <w:pPr>
        <w:jc w:val="left"/>
      </w:pPr>
      <w:r>
        <w:rPr>
          <w:b/>
        </w:rPr>
        <w:t>Holger Trautwein</w:t>
      </w:r>
      <w:r>
        <w:t>, geboren am 02.11.1974 in Ludwigshafen am Rhein, wohnhaft Waldparkdamm 11, 68163 Mannheim, verheiratet, Inhaber des Pflegedienstes "Sonnenblick e. K.", nicht vorbestraft,</w:t>
      </w:r>
    </w:p>
    <w:p>
      <w:pPr>
        <w:jc w:val="left"/>
      </w:pPr>
      <w:r>
        <w:t>Verteidigerin: Rechtsanwältin Dr. Franziska Ehrle, Mannheim,</w:t>
      </w:r>
    </w:p>
    <w:p>
      <w:pPr>
        <w:jc w:val="left"/>
      </w:pPr>
      <w:r>
        <w:t xml:space="preserve">Einziehungsbeteiligte: </w:t>
      </w:r>
      <w:r>
        <w:rPr>
          <w:b/>
        </w:rPr>
        <w:t>Silvia Trautwein</w:t>
      </w:r>
      <w:r>
        <w:t>, geboren am 09.06.1977, wohnhaft ebenda (§ 424 StPO),</w:t>
      </w:r>
    </w:p>
    <w:p>
      <w:pPr>
        <w:jc w:val="left"/>
      </w:pPr>
      <w:r>
        <w:t>wird angeklagt,</w:t>
      </w:r>
    </w:p>
    <w:p>
      <w:pPr>
        <w:jc w:val="left"/>
      </w:pPr>
      <w:r>
        <w:t>in Mannheim in der Zeit vom Januar 2023 bis zum Dezember 2024 durch 24 selbständige Handlungen in der Absicht, sich durch die fortgesetzte Begehung von Betrug eine Einnahmequelle von einigem Umfang und einiger Dauer zu verschaffen, das Vermögen anderer dadurch beschädigt zu haben, dass er durch Vorspiegelung falscher Tatsachen Irrtümer erregte und die Getäuschten zu vermögensschädigenden Verfügungen veranlasste,</w:t>
      </w:r>
    </w:p>
    <w:p>
      <w:pPr>
        <w:jc w:val="left"/>
      </w:pPr>
      <w:r>
        <w:rPr>
          <w:b/>
        </w:rPr>
        <w:t>strafbar als gewerbsmäßiger Betrug in 24 Fällen gemäß § 263 Abs. 1, Abs. 3 Satz 2 Nr. 1, § 53 StGB.</w:t>
      </w:r>
    </w:p>
    <w:p>
      <w:pPr>
        <w:pStyle w:val="Heading2"/>
      </w:pPr>
      <w:r>
        <w:rPr>
          <w:rFonts w:ascii="Times New Roman" w:hAnsi="Times New Roman"/>
        </w:rPr>
        <w:t>1 Wesentliches Ergebnis der Ermittlungen</w:t>
      </w:r>
    </w:p>
    <w:p>
      <w:pPr>
        <w:pStyle w:val="Heading3"/>
      </w:pPr>
      <w:r>
        <w:rPr>
          <w:rFonts w:ascii="Times New Roman" w:hAnsi="Times New Roman"/>
        </w:rPr>
        <w:t>1.1 Tatgeschehen</w:t>
      </w:r>
    </w:p>
    <w:p>
      <w:pPr>
        <w:jc w:val="left"/>
      </w:pPr>
      <w:r>
        <w:t>Der Angeschuldigte betrieb den ambulanten Pflegedienst "Sonnenblick e. K." mit zuletzt sieben Pflegekräften und drei Dienstfahrzeugen. Die Versorgung der Patienten erfolgte in Touren; je Einsatz stand dem Pflegedienst nach den Vergütungsvereinbarungen mit der AOK Baden-Württemberg, der DAK-Gesundheit und der BARMER eine Pauschale von 120,00 EUR zu. Der Angeschuldigte reichte für jeden der 24 Abrechnungsmonate Januar 2023 bis Dezember 2024 Sammelabrechnungen ein, in denen er neben tatsächlich erbrachten Einsätzen planmäßig auch Einsätze abrechnete, die mangels Personals nicht durchgeführt worden waren. Die hierzu erforderlichen Leistungsnachweise ließ er vervollständigen oder mit nachgemachten Unterschriften versehen. Die Kassen zahlten im Vertrauen auf die Richtigkeit der Abrechnungen jeweils in voller Höhe.</w:t>
      </w:r>
    </w:p>
    <w:p>
      <w:pPr>
        <w:pStyle w:val="Heading3"/>
      </w:pPr>
      <w:r>
        <w:rPr>
          <w:rFonts w:ascii="Times New Roman" w:hAnsi="Times New Roman"/>
        </w:rPr>
        <w:t>1.2 Schadensberechnung</w:t>
      </w:r>
    </w:p>
    <w:p>
      <w:pPr>
        <w:jc w:val="left"/>
      </w:pPr>
      <w:r>
        <w:t xml:space="preserve">Aus dem Abgleich der Abrechnungsdaten der drei Kassen mit den sichergestellten Touren- und Dienstplänen ergibt sich: In den 24 Monaten wurden 16.923 Einsätze mit einem Vergütungsvolumen von 2.030.760,00 EUR abgerechnet, während lediglich 13.484 Einsätze gefahren wurden. Nicht erbracht, aber abgerechnet und bezahlt wurden </w:t>
      </w:r>
      <w:r>
        <w:rPr>
          <w:b/>
        </w:rPr>
        <w:t>3.439 Einsätze</w:t>
      </w:r>
      <w:r>
        <w:t xml:space="preserve">, mithin </w:t>
      </w:r>
      <w:r>
        <w:rPr>
          <w:b/>
        </w:rPr>
        <w:t>412.680,00 EUR</w:t>
      </w:r>
      <w:r>
        <w:t xml:space="preserve"> (Einzelaufstellung nach Monaten und Kassen: Anlage 1 zur Anklage; Tourenplanübersicht: Anlage 2). Die monatlichen Fehlmengen steigen von 80 Einsätzen (Januar 2023) auf bis zu 220 Einsätze (November 2024) und gehen im Dezember 2024 auf 169 zurück, nachdem die AOK eine Abrechnungsprüfung angekündigt hatte.</w:t>
      </w:r>
    </w:p>
    <w:p>
      <w:pPr>
        <w:pStyle w:val="Heading3"/>
      </w:pPr>
      <w:r>
        <w:rPr>
          <w:rFonts w:ascii="Times New Roman" w:hAnsi="Times New Roman"/>
        </w:rPr>
        <w:t>1.3 Exemplarische Einzelfeststellungen</w:t>
      </w:r>
    </w:p>
    <w:p>
      <w:pPr>
        <w:jc w:val="left"/>
      </w:pPr>
      <w:r>
        <w:t>Für den 14. und 15. Mai 2024 sowie den 3. Juni 2024 standen die Dienstfahrzeuge MA-PS 214 und MA-PS 215 nach den GPS-Daten des Flottendienstleisters ganztägig mit Tageskilometerstand 0 am Betriebssitz; gleichwohl wurden für diese Tage 47 Einsätze außerhalb der allein bedienten Tour Nord abgerechnet. Die Einlassung des Angeschuldigten, es handele sich um bloße Dokumentationsfehler und sämtliche Touren seien — teils mit Privatfahrzeugen — gefahren worden, ist hierdurch sowie durch die Aussage der Zeugin Kalinowska und den sichergestellten Schriftverkehr (E-Mail der Pflegedienstleiterin vom 4. Juni 2024; WhatsApp-Verlauf) widerlegt.</w:t>
      </w:r>
    </w:p>
    <w:p>
      <w:pPr>
        <w:pStyle w:val="Heading3"/>
      </w:pPr>
      <w:r>
        <w:rPr>
          <w:rFonts w:ascii="Times New Roman" w:hAnsi="Times New Roman"/>
        </w:rPr>
        <w:t>1.4 Vermögensabschöpfung</w:t>
      </w:r>
    </w:p>
    <w:p>
      <w:pPr>
        <w:jc w:val="left"/>
      </w:pPr>
      <w:r>
        <w:t>Der Angeschuldigte erlangte durch die Taten 412.680,00 EUR (Bruttoprinzip). Seine Aufwendungen — insbesondere anteilige Lohnkosten des Pflegebetriebs — sind nach § 73d Abs. 1 Satz 2 StGB nicht abzugsfähig, soweit sie für die Begehung der Taten oder ihre Vorbereitung aufgewendet oder eingesetzt worden sind; im Übrigen betreffen die Lohnkosten die tatsächlich erbrachten und vergüteten Einsätze und mindern das aus den Luftleistungen Erlangte nicht. Von dem Erlangten wurden 66.000,00 EUR (24 Überweisungen zu je 2.750,00 EUR, Januar 2024 bis Dezember 2025) ohne Gegenleistung an die Einziehungsbeteiligte übertragen (§ 73b Abs. 1 Satz 1 Nr. 2 StGB); wegen der Einzelheiten wird auf den Vermerk vom 5. März 2026 (Bl. 218–220 d. A.) verwiesen. Zur Sicherung ist der Vermögensarrest angeordnet und vollzogen (Bl. 190 ff., 204 ff. d. A.).</w:t>
      </w:r>
    </w:p>
    <w:p>
      <w:pPr>
        <w:pStyle w:val="Heading3"/>
      </w:pPr>
      <w:r>
        <w:rPr>
          <w:rFonts w:ascii="Times New Roman" w:hAnsi="Times New Roman"/>
        </w:rPr>
        <w:t>1.5 Beweismittel</w:t>
      </w:r>
    </w:p>
    <w:p>
      <w:pPr>
        <w:jc w:val="left"/>
      </w:pPr>
      <w:r>
        <w:t>Zeuginnen und Zeugen: KHK'in Nowotny (PP Mannheim); Bozena Kalinowska; Ute Grimmer; Heike Sommerfeld (AOK). Urkunden: Abrechnungsdatenexporte der Kassen (Anlage 1); Touren- und Dienstpläne (Anlage 2); GPS-Datenauszug FleetTrack Süd GmbH (Anlage 3); Leistungsnachweise (Asservate 1.1); E-Mail vom 4. Juni 2024; WhatsApp-Verlauf (Asservat 2.1); Kontoverdichtungen.</w:t>
      </w:r>
    </w:p>
    <w:p>
      <w:pPr>
        <w:pStyle w:val="Heading2"/>
      </w:pPr>
      <w:r>
        <w:rPr>
          <w:rFonts w:ascii="Times New Roman" w:hAnsi="Times New Roman"/>
        </w:rPr>
        <w:t>2 Anträge</w:t>
      </w:r>
    </w:p>
    <w:p>
      <w:pPr>
        <w:jc w:val="left"/>
      </w:pPr>
      <w:r>
        <w:t>Es wird beantragt,</w:t>
      </w:r>
    </w:p>
    <w:p>
      <w:pPr>
        <w:jc w:val="left"/>
      </w:pPr>
      <w:r>
        <w:t>das Hauptverfahren vor der Wirtschaftsstrafkammer des Landgerichts Mannheim zu eröffnen (§ 74c Abs. 1 Satz 1 Nr. 6 GVG),</w:t>
      </w:r>
    </w:p>
    <w:p>
      <w:pPr>
        <w:jc w:val="left"/>
      </w:pPr>
      <w:r>
        <w:t xml:space="preserve">gegen den Angeschuldigten die Einziehung des Wertes von Taterträgen in Höhe von </w:t>
      </w:r>
      <w:r>
        <w:rPr>
          <w:b/>
        </w:rPr>
        <w:t>412.680,00 EUR</w:t>
      </w:r>
      <w:r>
        <w:t xml:space="preserve"> anzuordnen (§§ 73 Abs. 1, 73c Satz 1 StGB),</w:t>
      </w:r>
    </w:p>
    <w:p>
      <w:pPr>
        <w:jc w:val="left"/>
      </w:pPr>
      <w:r>
        <w:t xml:space="preserve">gegen die Einziehungsbeteiligte die Einziehung des Wertes von Taterträgen in Höhe von </w:t>
      </w:r>
      <w:r>
        <w:rPr>
          <w:b/>
        </w:rPr>
        <w:t>66.000,00 EUR</w:t>
      </w:r>
      <w:r>
        <w:t xml:space="preserve"> anzuordnen (§§ 73b Abs. 1 Satz 1 Nr. 2, 73c Satz 1 StGB), insoweit als Gesamtschuldnerin neben dem Angeschuldigten,</w:t>
      </w:r>
    </w:p>
    <w:p>
      <w:pPr>
        <w:jc w:val="left"/>
      </w:pPr>
      <w:r>
        <w:t>die Fortdauer des Vermögensarrests festzustellen.</w:t>
      </w:r>
    </w:p>
    <w:p>
      <w:pPr>
        <w:jc w:val="left"/>
      </w:pPr>
      <w:r>
        <w:t>Dr. Vogelsang</w:t>
      </w:r>
    </w:p>
    <w:p>
      <w:pPr>
        <w:jc w:val="left"/>
      </w:pPr>
      <w:r>
        <w:t>Oberstaatsanwalt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Mannheim</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Mannheim</w:t>
    </w:r>
  </w:p>
  <w:p>
    <w:pPr>
      <w:jc w:val="left"/>
      <w:pBdr>
        <w:bottom w:val="single" w:sz="6" w:space="2" w:color="3B3F45"/>
      </w:pBdr>
    </w:pPr>
    <w:r>
      <w:rPr>
        <w:rFonts w:ascii="Times New Roman" w:hAnsi="Times New Roman"/>
        <w:color w:val="6B6B66"/>
        <w:sz w:val="16"/>
      </w:rPr>
      <w:t>Gericht · Aktenzeichen: 616 Js 20481/25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