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Schriftsatz der Verteidigerin vom 28. Mai 2026 (Stellungnahme im Zwischenverfahren)</w:t>
      </w:r>
    </w:p>
    <w:p>
      <w:pPr>
        <w:jc w:val="left"/>
      </w:pPr>
      <w:r>
        <w:rPr>
          <w:b/>
        </w:rPr>
        <w:t>Rechtsanwältin Dr. Franziska Ehrle</w:t>
      </w:r>
    </w:p>
    <w:p>
      <w:pPr>
        <w:jc w:val="left"/>
      </w:pPr>
      <w:r>
        <w:t>Fachanwältin für Strafrecht und für Medizinrecht</w:t>
      </w:r>
    </w:p>
    <w:p>
      <w:pPr>
        <w:jc w:val="left"/>
      </w:pPr>
      <w:r>
        <w:t>Q 7, 24, 68161 Mannheim</w:t>
      </w:r>
    </w:p>
    <w:p>
      <w:pPr>
        <w:jc w:val="left"/>
      </w:pPr>
      <w:r>
        <w:t>Telefon: 0621 448270-0 | Telefax: 0621 448270-9 | E-Mail: kanzlei@ehrle-strafrecht.de</w:t>
      </w:r>
    </w:p>
    <w:p>
      <w:pPr>
        <w:jc w:val="left"/>
      </w:pPr>
      <w:r>
        <w:rPr>
          <w:b/>
        </w:rPr>
        <w:t>Unser Zeichen:</w:t>
      </w:r>
      <w:r>
        <w:t xml:space="preserve"> 512/25 FE | </w:t>
      </w:r>
      <w:r>
        <w:rPr>
          <w:b/>
        </w:rPr>
        <w:t>Ihr Zeichen:</w:t>
      </w:r>
      <w:r>
        <w:t xml:space="preserve"> 616 Js 20481/25</w:t>
      </w:r>
    </w:p>
    <w:p>
      <w:pPr>
        <w:jc w:val="left"/>
      </w:pPr>
      <w:r>
        <w:t>Mannheim, den 28. Mai 2026</w:t>
      </w:r>
    </w:p>
    <w:p>
      <w:pPr>
        <w:jc w:val="left"/>
      </w:pPr>
      <w:r>
        <w:rPr>
          <w:b/>
        </w:rPr>
        <w:t>An das Landgericht Mannheim — Wirtschaftsstrafkammer —, A 1, 68159 Mannheim</w:t>
      </w:r>
    </w:p>
    <w:p>
      <w:pPr>
        <w:jc w:val="left"/>
      </w:pPr>
      <w:r>
        <w:rPr>
          <w:i/>
        </w:rPr>
        <w:t>Zustellweg: elektronisch über das besondere elektronische Anwaltspostfach (§ 32a StPO)</w:t>
      </w:r>
    </w:p>
    <w:p>
      <w:pPr>
        <w:jc w:val="left"/>
      </w:pPr>
      <w:r>
        <w:rPr>
          <w:b/>
        </w:rPr>
        <w:t>Betreff: Strafsache gegen Holger Trautwein — Stellungnahme zur Anklageschrift vom 22. April 2026 (§ 201 StPO), zugleich Einwendungen gegen die Einziehungsberechnung</w:t>
      </w:r>
    </w:p>
    <w:p>
      <w:pPr>
        <w:jc w:val="left"/>
      </w:pPr>
      <w:r>
        <w:t>Sehr geehrte Damen und Herren Richter,</w:t>
      </w:r>
    </w:p>
    <w:p>
      <w:pPr>
        <w:jc w:val="left"/>
      </w:pPr>
      <w:r>
        <w:t>namens und in Vollmacht des Angeschuldigten nehme ich zur Anklageschrift Stellung. Ich beantrage,</w:t>
      </w:r>
    </w:p>
    <w:p>
      <w:pPr>
        <w:jc w:val="left"/>
      </w:pPr>
      <w:r>
        <w:t>die Eröffnung des Hauptverfahrens hinsichtlich der Einziehungsanträge nur nach Maßgabe der nachfolgenden Einwendungen zu beschließen, hilfsweise die Einziehungsberechnung der Staatsanwaltschaft nicht ungeprüft zu übernehmen.</w:t>
      </w:r>
    </w:p>
    <w:p>
      <w:pPr>
        <w:pStyle w:val="Heading2"/>
      </w:pPr>
      <w:r>
        <w:rPr>
          <w:rFonts w:ascii="Times New Roman" w:hAnsi="Times New Roman"/>
        </w:rPr>
        <w:t>1 Die Mengenberechnung der Anklage ist nicht tragfähig</w:t>
      </w:r>
    </w:p>
    <w:p>
      <w:pPr>
        <w:pStyle w:val="Heading3"/>
      </w:pPr>
      <w:r>
        <w:rPr>
          <w:rFonts w:ascii="Times New Roman" w:hAnsi="Times New Roman"/>
        </w:rPr>
        <w:t>1.1 Der Tourenplan ist kein vollständiges Abbild der erbrachten Leistungen</w:t>
      </w:r>
    </w:p>
    <w:p>
      <w:pPr>
        <w:jc w:val="left"/>
      </w:pPr>
      <w:r>
        <w:t xml:space="preserve">Die Anklage setzt die abgerechneten Einsätze (16.923) schlicht ins Verhältnis zu den in den Tourenplänen dokumentierten Einsätzen (13.484) und erklärt die Differenz von 3.439 Einsätzen zu Luftleistungen. Das trägt nicht. Die Tourenpläne wurden im Betrieb des Angeschuldigten unstreitig nachlässig geführt; kurzfristige Zusatzeinsätze (Akutbesuche, Wochenend- und Feiertagsdienste, Einspringen nach Krankmeldungen) wurden nach der Betriebspraxis häufig gar nicht in den Plan aufgenommen, sondern nur im Leistungsnachweis dokumentiert. Ein Teil der Ordner ist zudem durch den Wasserschaden im Frühjahr 2024 unbrauchbar geworden und in den Auswertungen der Kassen schlicht als "nicht gefahren" gezählt worden. Die Verteidigung hat die erhaltenen Leistungsnachweise nachkassiert: Danach sind höchstens </w:t>
      </w:r>
      <w:r>
        <w:rPr>
          <w:b/>
        </w:rPr>
        <w:t>2.095 Einsätze</w:t>
      </w:r>
      <w:r>
        <w:t xml:space="preserve"> (251.400,00 EUR) nicht durch Nachweise gedeckt. Die Differenz zur Anklageberechnung (1.344 Einsätze, 161.280,00 EUR) beruht auf der Gleichsetzung von "nicht im Tourenplan" mit "nicht erbracht".</w:t>
      </w:r>
    </w:p>
    <w:p>
      <w:pPr>
        <w:pStyle w:val="Heading3"/>
      </w:pPr>
      <w:r>
        <w:rPr>
          <w:rFonts w:ascii="Times New Roman" w:hAnsi="Times New Roman"/>
        </w:rPr>
        <w:t>1.2 Beweisanregung</w:t>
      </w:r>
    </w:p>
    <w:p>
      <w:pPr>
        <w:jc w:val="left"/>
      </w:pPr>
      <w:r>
        <w:t>Es wird angeregt, ein Sachverständigengutachten zur Rekonstruktion des tatsächlichen Leistungsgeschehens aus Pflegedokumentation, Leistungsnachweisen und Personaleinsatz einzuholen, bevor die Kammer die Schadens- und Einziehungshöhe der Anklage zugrunde legt.</w:t>
      </w:r>
    </w:p>
    <w:p>
      <w:pPr>
        <w:pStyle w:val="Heading2"/>
      </w:pPr>
      <w:r>
        <w:rPr>
          <w:rFonts w:ascii="Times New Roman" w:hAnsi="Times New Roman"/>
        </w:rPr>
        <w:t>2 Jedenfalls sind die Lohnkosten abzuziehen (§ 73d Abs. 1 StGB)</w:t>
      </w:r>
    </w:p>
    <w:p>
      <w:pPr>
        <w:jc w:val="left"/>
      </w:pPr>
      <w:r>
        <w:t xml:space="preserve">Selbst auf der Grundlage der Anklageberechnung wäre das Erlangte falsch bemessen. Nach § 73d Abs. 1 Satz 1 StGB sind bei der Bestimmung des Wertes des Erlangten die Aufwendungen des Täters abzuziehen. Der Pflegebetrieb des Angeschuldigten hat die abgerechneten Touren mit real bezahltem Personal bewirtschaftet; auf die dem Abrechnungsvolumen zuzuordnenden Touren entfallen nach der betriebswirtschaftlichen Auswertung der Verteidigung anteilige Lohnkosten von </w:t>
      </w:r>
      <w:r>
        <w:rPr>
          <w:b/>
        </w:rPr>
        <w:t>148.560,00 EUR</w:t>
      </w:r>
      <w:r>
        <w:t>. Das Abzugsverbot des § 73d Abs. 1 Satz 2 StGB greift nicht: Die Löhne wurden nicht "für die Begehung der Tat" aufgewendet, sondern für den legalen Pflegebetrieb als solchen; sie wären in identischer Höhe auch ohne die vorgeworfenen Abrechnungsfehler angefallen. Wer dem Angeschuldigten den Bruttobetrag ohne Abzug abnimmt, schöpft nicht Taterträge ab, sondern bestraft ein zweites Mal — mit der Ausgestaltung der Einziehung als kondiktionsähnlicher Maßnahme ist das unvereinbar.</w:t>
      </w:r>
    </w:p>
    <w:p>
      <w:pPr>
        <w:pStyle w:val="Heading2"/>
      </w:pPr>
      <w:r>
        <w:rPr>
          <w:rFonts w:ascii="Times New Roman" w:hAnsi="Times New Roman"/>
        </w:rPr>
        <w:t>3 Zur Einziehung gegen die Ehefrau</w:t>
      </w:r>
    </w:p>
    <w:p>
      <w:pPr>
        <w:jc w:val="left"/>
      </w:pPr>
      <w:r>
        <w:t>Die Überweisungen an Frau Trautwein waren Vergütung für tatsächlich erbrachte Verwaltungstätigkeit von zu Hause; unter Eheleuten ist das Fehlen eines schriftlichen Vertrages nicht ungewöhnlich. Jedenfalls für die Monate ab Januar 2025 fehlt es zudem an jedem zeitlichen Zusammenhang mit den angeklagten Taten, die im Dezember 2024 enden; die Konstruktion der Anklage über einen "noch nicht verbrauchten" Kontosaldo ersetzt den erforderlichen Nachweis nicht, dass gerade Taterträge übertragen wurden.</w:t>
      </w:r>
    </w:p>
    <w:p>
      <w:pPr>
        <w:pStyle w:val="Heading2"/>
      </w:pPr>
      <w:r>
        <w:rPr>
          <w:rFonts w:ascii="Times New Roman" w:hAnsi="Times New Roman"/>
        </w:rPr>
        <w:t>4 Zum Vermögensarrest</w:t>
      </w:r>
    </w:p>
    <w:p>
      <w:pPr>
        <w:jc w:val="left"/>
      </w:pPr>
      <w:r>
        <w:t>Die Vollziehung des Arrests in das Familienheim belastet den Angeschuldigten und seine Ehefrau schwer und ist nach der hier vertretenen Berechnung jedenfalls der Höhe nach übersetzt. Ein gesonderter Antrag auf Aufhebung, hilfsweise Beschränkung des Arrests bleibt ausdrücklich vorbehalten und wird nach Auswertung der Replik der Staatsanwaltschaft gestellt werden.</w:t>
      </w:r>
    </w:p>
    <w:p>
      <w:pPr>
        <w:jc w:val="left"/>
      </w:pPr>
      <w:r>
        <w:t>Mit vorzüglicher Hochachtung</w:t>
      </w:r>
    </w:p>
    <w:p>
      <w:pPr>
        <w:jc w:val="left"/>
      </w:pPr>
      <w:r>
        <w:t>Dr. Franziska Ehrle</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 Dr. Franziska Ehrle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RECHTSANWÄLTIN DR. FRANZISKA EHRLE</w:t>
    </w:r>
  </w:p>
  <w:p>
    <w:pPr>
      <w:jc w:val="left"/>
      <w:pBdr>
        <w:bottom w:val="single" w:sz="8" w:space="2" w:color="7B2D3B"/>
      </w:pBdr>
    </w:pPr>
    <w:r>
      <w:rPr>
        <w:rFonts w:ascii="Times New Roman" w:hAnsi="Times New Roman"/>
        <w:color w:val="6B6B66"/>
        <w:sz w:val="16"/>
      </w:rPr>
      <w:t>Rechtsanwaltskanzlei · 616 Js 20481/25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