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der Verteidigung auf Aufhebung des Vermögensarrests (29. Juni 2026)</w:t>
      </w:r>
    </w:p>
    <w:p>
      <w:pPr>
        <w:jc w:val="left"/>
      </w:pPr>
      <w:r>
        <w:rPr>
          <w:b/>
        </w:rPr>
        <w:t>Rechtsanwältin Dr. Franziska Ehrle</w:t>
      </w:r>
    </w:p>
    <w:p>
      <w:pPr>
        <w:jc w:val="left"/>
      </w:pPr>
      <w:r>
        <w:t>Fachanwältin für Strafrecht und für Medizinrecht</w:t>
      </w:r>
    </w:p>
    <w:p>
      <w:pPr>
        <w:jc w:val="left"/>
      </w:pPr>
      <w:r>
        <w:t>Q 7, 24, 68161 Mannheim</w:t>
      </w:r>
    </w:p>
    <w:p>
      <w:pPr>
        <w:jc w:val="left"/>
      </w:pPr>
      <w:r>
        <w:t>Telefon: 0621 448270-0 | Telefax: 0621 448270-9 | E-Mail: kanzlei@ehrle-strafrecht.de</w:t>
      </w:r>
    </w:p>
    <w:p>
      <w:pPr>
        <w:jc w:val="left"/>
      </w:pPr>
      <w:r>
        <w:rPr>
          <w:b/>
        </w:rPr>
        <w:t>Unser Zeichen:</w:t>
      </w:r>
      <w:r>
        <w:t xml:space="preserve"> 512/25 FE | </w:t>
      </w:r>
      <w:r>
        <w:rPr>
          <w:b/>
        </w:rPr>
        <w:t>Ihr Zeichen:</w:t>
      </w:r>
      <w:r>
        <w:t xml:space="preserve"> 616 Js 20481/25</w:t>
      </w:r>
    </w:p>
    <w:p>
      <w:pPr>
        <w:jc w:val="left"/>
      </w:pPr>
      <w:r>
        <w:t>Mannheim, den 29. Juni 2026</w:t>
      </w:r>
    </w:p>
    <w:p>
      <w:pPr>
        <w:jc w:val="left"/>
      </w:pPr>
      <w:r>
        <w:rPr>
          <w:b/>
        </w:rPr>
        <w:t>An das Landgericht Mannheim — Wirtschaftsstrafkammer —, A 1, 68159 Mannheim</w:t>
      </w:r>
    </w:p>
    <w:p>
      <w:pPr>
        <w:jc w:val="left"/>
      </w:pPr>
      <w:r>
        <w:rPr>
          <w:i/>
        </w:rPr>
        <w:t>Zustellweg: elektronisch über das besondere elektronische Anwaltspostfach (§ 32a StPO)</w:t>
      </w:r>
    </w:p>
    <w:p>
      <w:pPr>
        <w:jc w:val="left"/>
      </w:pPr>
      <w:r>
        <w:rPr>
          <w:b/>
        </w:rPr>
        <w:t>Betreff: Strafsache gegen Holger Trautwein — Antrag auf gerichtliche Entscheidung: Aufhebung, hilfsweise Beschränkung des Vermögensarrests vom 6. Februar 2026 (AG Mannheim, 42 Gs 214/26)</w:t>
      </w:r>
    </w:p>
    <w:p>
      <w:pPr>
        <w:jc w:val="left"/>
      </w:pPr>
      <w:r>
        <w:t>Namens des Angeschuldigten und der Einziehungsbeteiligten beantrage ich,</w:t>
      </w:r>
    </w:p>
    <w:p>
      <w:pPr>
        <w:jc w:val="left"/>
      </w:pPr>
      <w:r>
        <w:t>den Vermögensarrest des Amtsgerichts Mannheim vom 6. Februar 2026 aufzuheben,</w:t>
      </w:r>
    </w:p>
    <w:p>
      <w:pPr>
        <w:jc w:val="left"/>
      </w:pPr>
      <w:r>
        <w:t>hilfsweise: den Arrest gegen den Angeschuldigten auf 251.400,00 EUR herabzusetzen und die Vollziehung in den Miteigentumsanteil am Grundstück Waldparkdamm 11 aufzuheben, soweit die gepfändeten Kontoguthaben zur Sicherung ausreichen,</w:t>
      </w:r>
    </w:p>
    <w:p>
      <w:pPr>
        <w:jc w:val="left"/>
      </w:pPr>
      <w:r>
        <w:t>weiter hilfsweise: die Vollziehung gegen Sicherheitsleistung in Höhe des herabgesetzten Betrages einzustellen (§ 111e Abs. 4 StPO).</w:t>
      </w:r>
    </w:p>
    <w:p>
      <w:pPr>
        <w:pStyle w:val="Heading2"/>
      </w:pPr>
      <w:r>
        <w:rPr>
          <w:rFonts w:ascii="Times New Roman" w:hAnsi="Times New Roman"/>
        </w:rPr>
        <w:t>1 Zur Höhe</w:t>
      </w:r>
    </w:p>
    <w:p>
      <w:pPr>
        <w:jc w:val="left"/>
      </w:pPr>
      <w:r>
        <w:t>Der Arrest sichert einen Betrag, den die Staatsanwaltschaft selbst nicht mehr konsistent vorträgt: Die Anklage nennt 412.680,00 EUR, die Replik vom 19. Juni 2026 nunmehr 416.280,00 EUR. Bereits diese Divergenz zeigt, dass die Berechnung ungeprüft übernommener Kassendaten keine tragfähige Grundlage für einen Eingriff dieser Größenordnung ist. Nach der Nachkassation der Verteidigung (Schriftsatz vom 28. Mai 2026, dort Ziffer 1.1) sind höchstens 251.400,00 EUR nicht durch Leistungsnachweise gedeckt; jedenfalls auf diesen Betrag wäre der Arrest zu beschränken, wobei die anteiligen Lohnkosten (148.560,00 EUR) zusätzlich abzusetzen wären.</w:t>
      </w:r>
    </w:p>
    <w:p>
      <w:pPr>
        <w:pStyle w:val="Heading2"/>
      </w:pPr>
      <w:r>
        <w:rPr>
          <w:rFonts w:ascii="Times New Roman" w:hAnsi="Times New Roman"/>
        </w:rPr>
        <w:t>2 Zur Verhältnismäßigkeit der Vollziehung</w:t>
      </w:r>
    </w:p>
    <w:p>
      <w:pPr>
        <w:jc w:val="left"/>
      </w:pPr>
      <w:r>
        <w:t>Gesichert sind bereits Kontoguthaben von 100.120,34 EUR beim Angeschuldigten und 21.480,17 EUR bei der Einziehungsbeteiligten. Die zusätzliche Sicherungshypothek über den vollen Arrestbetrag auf dem Familienheim übersichert die Staatsanwaltschaft erheblich: Bei einem Verkehrswert von rund 780.000,00 EUR und einer Restvalutierung der Grundschuld von 118.400,00 EUR bindet die Hypothek Werte weit über den Arrestbetrag hinaus und macht das Grundstück faktisch unveräußerlich und unbeleihbar. Der Pflegedienst benötigt zur Fortführung des — im legalen Kernbestand unstreitig werthaltigen — Betriebs kurzfristig Liquidität; die vollständige Blockade aller Konten gefährdet die Lohnzahlungen an die verbliebenen Pflegekräfte und damit die Versorgung der Patienten. Der behauptete Maklerauftrag ist längst widerrufen (Bestätigung der Maklerin vom 12. Juni 2026 in der Anlage); ein aktuelles Sicherungsbedürfnis in der angeordneten Totalität besteht nicht.</w:t>
      </w:r>
    </w:p>
    <w:p>
      <w:pPr>
        <w:pStyle w:val="Heading2"/>
      </w:pPr>
      <w:r>
        <w:rPr>
          <w:rFonts w:ascii="Times New Roman" w:hAnsi="Times New Roman"/>
        </w:rPr>
        <w:t>3 Zur Einziehungsbeteiligten</w:t>
      </w:r>
    </w:p>
    <w:p>
      <w:pPr>
        <w:jc w:val="left"/>
      </w:pPr>
      <w:r>
        <w:t>Gegen Frau Trautwein fehlt es bereits an der Arrestgrundlage: Die Anklage endet mit dem Tatzeitraum Dezember 2024; die Überweisungen ab Januar 2025 können nicht "Erlangtes aus der Tat" sein, ohne dass die Herkunft konkret nachvollzogen wird. Der bloße Verweis auf einen Kontosaldo ersetzt diese Zuordnung nicht.</w:t>
      </w:r>
    </w:p>
    <w:p>
      <w:pPr>
        <w:jc w:val="left"/>
      </w:pPr>
      <w:r>
        <w:t>Um zeitnahe Entscheidung wird gebeten, da die nächste Lohnzahlung zum 31. Juli 2026 ansteht.</w:t>
      </w:r>
    </w:p>
    <w:p>
      <w:pPr>
        <w:jc w:val="left"/>
      </w:pPr>
      <w:r>
        <w:t>Mit vorzüglicher Hochachtung</w:t>
      </w:r>
    </w:p>
    <w:p>
      <w:pPr>
        <w:jc w:val="left"/>
      </w:pPr>
      <w:r>
        <w:t>Dr. Franziska Ehrle</w:t>
      </w:r>
    </w:p>
    <w:p>
      <w:pPr>
        <w:jc w:val="left"/>
      </w:pPr>
      <w:r>
        <w:t>Rechtsanwältin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Dr. Franziska Ehrle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RECHTSANWÄLTIN DR. FRANZISKA EHRLE</w:t>
    </w:r>
  </w:p>
  <w:p>
    <w:pPr>
      <w:jc w:val="left"/>
      <w:pBdr>
        <w:bottom w:val="single" w:sz="8" w:space="2" w:color="7B2D3B"/>
      </w:pBdr>
    </w:pPr>
    <w:r>
      <w:rPr>
        <w:rFonts w:ascii="Times New Roman" w:hAnsi="Times New Roman"/>
        <w:color w:val="6B6B66"/>
        <w:sz w:val="16"/>
      </w:rPr>
      <w:t>Rechtsanwaltskanzlei · 616 Js 20481/25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