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Landgericht Wuppertal — Aktenvorblatt (Band III der Hauptakte)</w:t>
      </w:r>
    </w:p>
    <w:p>
      <w:pPr>
        <w:jc w:val="left"/>
      </w:pPr>
      <w:r>
        <w:rPr>
          <w:b/>
        </w:rPr>
        <w:t>Landgericht Wuppertal</w:t>
      </w:r>
    </w:p>
    <w:p>
      <w:pPr>
        <w:pStyle w:val="ListNumber"/>
      </w:pPr>
      <w:r>
        <w:t>große Strafkammer — Wirtschaftsstrafkammer —</w:t>
      </w:r>
    </w:p>
    <w:p>
      <w:pPr>
        <w:jc w:val="left"/>
      </w:pPr>
      <w:r>
        <w:t>Eiland 1, 42103 Wuppertal</w:t>
      </w:r>
    </w:p>
    <w:p>
      <w:pPr>
        <w:jc w:val="left"/>
      </w:pPr>
      <w:r>
        <w:t>Telefon: 0202 498-0 | Telefax: 0202 498-2610</w:t>
      </w:r>
    </w:p>
    <w:p>
      <w:pPr>
        <w:jc w:val="left"/>
      </w:pPr>
      <w:r>
        <w:rPr>
          <w:b/>
        </w:rPr>
        <w:t>Aktenzeichen:</w:t>
      </w:r>
      <w:r>
        <w:t xml:space="preserve"> 26 KLs 4/26</w:t>
      </w:r>
    </w:p>
    <w:p>
      <w:pPr>
        <w:jc w:val="left"/>
      </w:pPr>
      <w:r>
        <w:rPr>
          <w:b/>
        </w:rPr>
        <w:t>Staatsanwaltschaft Wuppertal:</w:t>
      </w:r>
      <w:r>
        <w:t xml:space="preserve"> 26 Js 1447/25</w:t>
      </w:r>
    </w:p>
    <w:p>
      <w:pPr>
        <w:jc w:val="left"/>
      </w:pPr>
      <w:r>
        <w:rPr>
          <w:b/>
        </w:rPr>
        <w:t>Stand des Vorblatts:</w:t>
      </w:r>
      <w:r>
        <w:t xml:space="preserve"> 1. Juli 2026</w:t>
      </w:r>
    </w:p>
    <w:p>
      <w:pPr>
        <w:jc w:val="left"/>
      </w:pPr>
      <w:r>
        <w:rPr>
          <w:b/>
        </w:rPr>
        <w:t>Strafsache gegen:</w:t>
      </w:r>
      <w:r>
        <w:t xml:space="preserve"> Marek Sowinski, geboren am 14.03.1988 in Ratibor (Polen), wohnhaft Wichlinghauser Straße 112, 42277 Wuppertal, deutscher Staatsangehöriger</w:t>
      </w:r>
    </w:p>
    <w:p>
      <w:pPr>
        <w:jc w:val="left"/>
      </w:pPr>
      <w:r>
        <w:rPr>
          <w:b/>
        </w:rPr>
        <w:t>wegen:</w:t>
      </w:r>
      <w:r>
        <w:t xml:space="preserve"> gewerbsmäßiger Bandenhehlerei (§ 260a Abs. 1 StGB) in zwölf Fällen</w:t>
      </w:r>
    </w:p>
    <w:p>
      <w:pPr>
        <w:jc w:val="left"/>
      </w:pPr>
      <w:r>
        <w:rPr>
          <w:b/>
        </w:rPr>
        <w:t>Verteidiger:</w:t>
      </w:r>
      <w:r>
        <w:t xml:space="preserve"> Rechtsanwalt Dr. Carsten Fehling, Fehling &amp; Brede Rechtsanwälte, Friedrich-Ebert-Straße 55, 42103 Wuppertal (Wahlverteidiger, Vollmacht Bl. 342 d. A.)</w:t>
      </w:r>
    </w:p>
    <w:p>
      <w:pPr>
        <w:jc w:val="left"/>
      </w:pPr>
      <w:r>
        <w:rPr>
          <w:b/>
        </w:rPr>
        <w:t>Gesondert verfolgt:</w:t>
      </w:r>
      <w:r>
        <w:t xml:space="preserve"> Darius Lemke und Boris Kranz (Staatsanwaltschaft Wuppertal, 26 Js 1448/25), wegen schweren Bandendiebstahls</w:t>
      </w:r>
    </w:p>
    <w:p>
      <w:pPr>
        <w:pStyle w:val="Heading2"/>
      </w:pPr>
      <w:r>
        <w:rPr>
          <w:rFonts w:ascii="Times New Roman" w:hAnsi="Times New Roman"/>
        </w:rPr>
        <w:t>Blattverzeichnis (Auszug, Band III)</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Blatt</w:t>
            </w:r>
          </w:p>
        </w:tc>
        <w:tc>
          <w:tcPr>
            <w:tcW w:type="dxa" w:w="3024"/>
          </w:tcPr>
          <w:p>
            <w:r>
              <w:rPr>
                <w:rFonts w:ascii="Times New Roman" w:hAnsi="Times New Roman"/>
                <w:b/>
                <w:sz w:val="20"/>
              </w:rPr>
              <w:t>Aktenstück</w:t>
            </w:r>
          </w:p>
        </w:tc>
        <w:tc>
          <w:tcPr>
            <w:tcW w:type="dxa" w:w="3024"/>
          </w:tcPr>
          <w:p>
            <w:r>
              <w:rPr>
                <w:rFonts w:ascii="Times New Roman" w:hAnsi="Times New Roman"/>
                <w:b/>
                <w:sz w:val="20"/>
              </w:rPr>
              <w:t>Datum</w:t>
            </w:r>
          </w:p>
        </w:tc>
      </w:tr>
      <w:tr>
        <w:tc>
          <w:tcPr>
            <w:tcW w:type="dxa" w:w="3024"/>
          </w:tcPr>
          <w:p>
            <w:r>
              <w:rPr>
                <w:rFonts w:ascii="Times New Roman" w:hAnsi="Times New Roman"/>
                <w:sz w:val="20"/>
              </w:rPr>
              <w:t>Bl. 611–634</w:t>
            </w:r>
          </w:p>
        </w:tc>
        <w:tc>
          <w:tcPr>
            <w:tcW w:type="dxa" w:w="3024"/>
          </w:tcPr>
          <w:p>
            <w:r>
              <w:rPr>
                <w:rFonts w:ascii="Times New Roman" w:hAnsi="Times New Roman"/>
                <w:sz w:val="20"/>
              </w:rPr>
              <w:t>Anklageschrift der Staatsanwaltschaft Wuppertal</w:t>
            </w:r>
          </w:p>
        </w:tc>
        <w:tc>
          <w:tcPr>
            <w:tcW w:type="dxa" w:w="3024"/>
          </w:tcPr>
          <w:p>
            <w:r>
              <w:rPr>
                <w:rFonts w:ascii="Times New Roman" w:hAnsi="Times New Roman"/>
                <w:sz w:val="20"/>
              </w:rPr>
              <w:t>02.02.2026</w:t>
            </w:r>
          </w:p>
        </w:tc>
      </w:tr>
      <w:tr>
        <w:tc>
          <w:tcPr>
            <w:tcW w:type="dxa" w:w="3024"/>
          </w:tcPr>
          <w:p>
            <w:r>
              <w:rPr>
                <w:rFonts w:ascii="Times New Roman" w:hAnsi="Times New Roman"/>
                <w:sz w:val="20"/>
              </w:rPr>
              <w:t>Bl. 641–643</w:t>
            </w:r>
          </w:p>
        </w:tc>
        <w:tc>
          <w:tcPr>
            <w:tcW w:type="dxa" w:w="3024"/>
          </w:tcPr>
          <w:p>
            <w:r>
              <w:rPr>
                <w:rFonts w:ascii="Times New Roman" w:hAnsi="Times New Roman"/>
                <w:sz w:val="20"/>
              </w:rPr>
              <w:t>Eröffnungsbeschluss der Kammer</w:t>
            </w:r>
          </w:p>
        </w:tc>
        <w:tc>
          <w:tcPr>
            <w:tcW w:type="dxa" w:w="3024"/>
          </w:tcPr>
          <w:p>
            <w:r>
              <w:rPr>
                <w:rFonts w:ascii="Times New Roman" w:hAnsi="Times New Roman"/>
                <w:sz w:val="20"/>
              </w:rPr>
              <w:t>09.03.2026</w:t>
            </w:r>
          </w:p>
        </w:tc>
      </w:tr>
      <w:tr>
        <w:tc>
          <w:tcPr>
            <w:tcW w:type="dxa" w:w="3024"/>
          </w:tcPr>
          <w:p>
            <w:r>
              <w:rPr>
                <w:rFonts w:ascii="Times New Roman" w:hAnsi="Times New Roman"/>
                <w:sz w:val="20"/>
              </w:rPr>
              <w:t>Bl. 648–650</w:t>
            </w:r>
          </w:p>
        </w:tc>
        <w:tc>
          <w:tcPr>
            <w:tcW w:type="dxa" w:w="3024"/>
          </w:tcPr>
          <w:p>
            <w:r>
              <w:rPr>
                <w:rFonts w:ascii="Times New Roman" w:hAnsi="Times New Roman"/>
                <w:sz w:val="20"/>
              </w:rPr>
              <w:t>Ladung des Angeklagten nebst Zustellungsurkunde</w:t>
            </w:r>
          </w:p>
        </w:tc>
        <w:tc>
          <w:tcPr>
            <w:tcW w:type="dxa" w:w="3024"/>
          </w:tcPr>
          <w:p>
            <w:r>
              <w:rPr>
                <w:rFonts w:ascii="Times New Roman" w:hAnsi="Times New Roman"/>
                <w:sz w:val="20"/>
              </w:rPr>
              <w:t>02.04.2026</w:t>
            </w:r>
          </w:p>
        </w:tc>
      </w:tr>
      <w:tr>
        <w:tc>
          <w:tcPr>
            <w:tcW w:type="dxa" w:w="3024"/>
          </w:tcPr>
          <w:p>
            <w:r>
              <w:rPr>
                <w:rFonts w:ascii="Times New Roman" w:hAnsi="Times New Roman"/>
                <w:sz w:val="20"/>
              </w:rPr>
              <w:t>Bl. 655–656</w:t>
            </w:r>
          </w:p>
        </w:tc>
        <w:tc>
          <w:tcPr>
            <w:tcW w:type="dxa" w:w="3024"/>
          </w:tcPr>
          <w:p>
            <w:r>
              <w:rPr>
                <w:rFonts w:ascii="Times New Roman" w:hAnsi="Times New Roman"/>
                <w:sz w:val="20"/>
              </w:rPr>
              <w:t>Vermerk des Vorsitzenden über Erörterung nach §§ 202a, 212 StPO</w:t>
            </w:r>
          </w:p>
        </w:tc>
        <w:tc>
          <w:tcPr>
            <w:tcW w:type="dxa" w:w="3024"/>
          </w:tcPr>
          <w:p>
            <w:r>
              <w:rPr>
                <w:rFonts w:ascii="Times New Roman" w:hAnsi="Times New Roman"/>
                <w:sz w:val="20"/>
              </w:rPr>
              <w:t>27.03.2026</w:t>
            </w:r>
          </w:p>
        </w:tc>
      </w:tr>
      <w:tr>
        <w:tc>
          <w:tcPr>
            <w:tcW w:type="dxa" w:w="3024"/>
          </w:tcPr>
          <w:p>
            <w:r>
              <w:rPr>
                <w:rFonts w:ascii="Times New Roman" w:hAnsi="Times New Roman"/>
                <w:sz w:val="20"/>
              </w:rPr>
              <w:t>Bl. 661–663</w:t>
            </w:r>
          </w:p>
        </w:tc>
        <w:tc>
          <w:tcPr>
            <w:tcW w:type="dxa" w:w="3024"/>
          </w:tcPr>
          <w:p>
            <w:r>
              <w:rPr>
                <w:rFonts w:ascii="Times New Roman" w:hAnsi="Times New Roman"/>
                <w:sz w:val="20"/>
              </w:rPr>
              <w:t>E-Mail-Verkehr Verteidigung / Staatsanwaltschaft / Kammer (Ausdrucke)</w:t>
            </w:r>
          </w:p>
        </w:tc>
        <w:tc>
          <w:tcPr>
            <w:tcW w:type="dxa" w:w="3024"/>
          </w:tcPr>
          <w:p>
            <w:r>
              <w:rPr>
                <w:rFonts w:ascii="Times New Roman" w:hAnsi="Times New Roman"/>
                <w:sz w:val="20"/>
              </w:rPr>
              <w:t>16.03.–30.03.2026</w:t>
            </w:r>
          </w:p>
        </w:tc>
      </w:tr>
      <w:tr>
        <w:tc>
          <w:tcPr>
            <w:tcW w:type="dxa" w:w="3024"/>
          </w:tcPr>
          <w:p>
            <w:r>
              <w:rPr>
                <w:rFonts w:ascii="Times New Roman" w:hAnsi="Times New Roman"/>
                <w:sz w:val="20"/>
              </w:rPr>
              <w:t>Bl. 670–671</w:t>
            </w:r>
          </w:p>
        </w:tc>
        <w:tc>
          <w:tcPr>
            <w:tcW w:type="dxa" w:w="3024"/>
          </w:tcPr>
          <w:p>
            <w:r>
              <w:rPr>
                <w:rFonts w:ascii="Times New Roman" w:hAnsi="Times New Roman"/>
                <w:sz w:val="20"/>
              </w:rPr>
              <w:t>Asservaten- und Beuteliste Fahrzeugteile (Anlage 4 zur Anklage)</w:t>
            </w:r>
          </w:p>
        </w:tc>
        <w:tc>
          <w:tcPr>
            <w:tcW w:type="dxa" w:w="3024"/>
          </w:tcPr>
          <w:p>
            <w:r>
              <w:rPr>
                <w:rFonts w:ascii="Times New Roman" w:hAnsi="Times New Roman"/>
                <w:sz w:val="20"/>
              </w:rPr>
              <w:t>28.01.2026</w:t>
            </w:r>
          </w:p>
        </w:tc>
      </w:tr>
      <w:tr>
        <w:tc>
          <w:tcPr>
            <w:tcW w:type="dxa" w:w="3024"/>
          </w:tcPr>
          <w:p>
            <w:r>
              <w:rPr>
                <w:rFonts w:ascii="Times New Roman" w:hAnsi="Times New Roman"/>
                <w:sz w:val="20"/>
              </w:rPr>
              <w:t>Bl. 672–673</w:t>
            </w:r>
          </w:p>
        </w:tc>
        <w:tc>
          <w:tcPr>
            <w:tcW w:type="dxa" w:w="3024"/>
          </w:tcPr>
          <w:p>
            <w:r>
              <w:rPr>
                <w:rFonts w:ascii="Times New Roman" w:hAnsi="Times New Roman"/>
                <w:sz w:val="20"/>
              </w:rPr>
              <w:t>Auszahlungsübersicht Plattform "TeileMarkt24" (Anlage 5 zur Anklage)</w:t>
            </w:r>
          </w:p>
        </w:tc>
        <w:tc>
          <w:tcPr>
            <w:tcW w:type="dxa" w:w="3024"/>
          </w:tcPr>
          <w:p>
            <w:r>
              <w:rPr>
                <w:rFonts w:ascii="Times New Roman" w:hAnsi="Times New Roman"/>
                <w:sz w:val="20"/>
              </w:rPr>
              <w:t>28.01.2026</w:t>
            </w:r>
          </w:p>
        </w:tc>
      </w:tr>
      <w:tr>
        <w:tc>
          <w:tcPr>
            <w:tcW w:type="dxa" w:w="3024"/>
          </w:tcPr>
          <w:p>
            <w:r>
              <w:rPr>
                <w:rFonts w:ascii="Times New Roman" w:hAnsi="Times New Roman"/>
                <w:sz w:val="20"/>
              </w:rPr>
              <w:t>Bl. 681–689</w:t>
            </w:r>
          </w:p>
        </w:tc>
        <w:tc>
          <w:tcPr>
            <w:tcW w:type="dxa" w:w="3024"/>
          </w:tcPr>
          <w:p>
            <w:r>
              <w:rPr>
                <w:rFonts w:ascii="Times New Roman" w:hAnsi="Times New Roman"/>
                <w:sz w:val="20"/>
              </w:rPr>
              <w:t>Protokoll der Hauptverhandlung, 1. Sitzungstag</w:t>
            </w:r>
          </w:p>
        </w:tc>
        <w:tc>
          <w:tcPr>
            <w:tcW w:type="dxa" w:w="3024"/>
          </w:tcPr>
          <w:p>
            <w:r>
              <w:rPr>
                <w:rFonts w:ascii="Times New Roman" w:hAnsi="Times New Roman"/>
                <w:sz w:val="20"/>
              </w:rPr>
              <w:t>28.04.2026</w:t>
            </w:r>
          </w:p>
        </w:tc>
      </w:tr>
      <w:tr>
        <w:tc>
          <w:tcPr>
            <w:tcW w:type="dxa" w:w="3024"/>
          </w:tcPr>
          <w:p>
            <w:r>
              <w:rPr>
                <w:rFonts w:ascii="Times New Roman" w:hAnsi="Times New Roman"/>
                <w:sz w:val="20"/>
              </w:rPr>
              <w:t>Bl. 690–692</w:t>
            </w:r>
          </w:p>
        </w:tc>
        <w:tc>
          <w:tcPr>
            <w:tcW w:type="dxa" w:w="3024"/>
          </w:tcPr>
          <w:p>
            <w:r>
              <w:rPr>
                <w:rFonts w:ascii="Times New Roman" w:hAnsi="Times New Roman"/>
                <w:sz w:val="20"/>
              </w:rPr>
              <w:t>Geständniserklärung des Angeklagten (Anlage 1 zum Protokoll)</w:t>
            </w:r>
          </w:p>
        </w:tc>
        <w:tc>
          <w:tcPr>
            <w:tcW w:type="dxa" w:w="3024"/>
          </w:tcPr>
          <w:p>
            <w:r>
              <w:rPr>
                <w:rFonts w:ascii="Times New Roman" w:hAnsi="Times New Roman"/>
                <w:sz w:val="20"/>
              </w:rPr>
              <w:t>28.04.2026</w:t>
            </w:r>
          </w:p>
        </w:tc>
      </w:tr>
      <w:tr>
        <w:tc>
          <w:tcPr>
            <w:tcW w:type="dxa" w:w="3024"/>
          </w:tcPr>
          <w:p>
            <w:r>
              <w:rPr>
                <w:rFonts w:ascii="Times New Roman" w:hAnsi="Times New Roman"/>
                <w:sz w:val="20"/>
              </w:rPr>
              <w:t>Bl. 695</w:t>
            </w:r>
          </w:p>
        </w:tc>
        <w:tc>
          <w:tcPr>
            <w:tcW w:type="dxa" w:w="3024"/>
          </w:tcPr>
          <w:p>
            <w:r>
              <w:rPr>
                <w:rFonts w:ascii="Times New Roman" w:hAnsi="Times New Roman"/>
                <w:sz w:val="20"/>
              </w:rPr>
              <w:t>Vermerk des Vorsitzenden zur Verständigung</w:t>
            </w:r>
          </w:p>
        </w:tc>
        <w:tc>
          <w:tcPr>
            <w:tcW w:type="dxa" w:w="3024"/>
          </w:tcPr>
          <w:p>
            <w:r>
              <w:rPr>
                <w:rFonts w:ascii="Times New Roman" w:hAnsi="Times New Roman"/>
                <w:sz w:val="20"/>
              </w:rPr>
              <w:t>29.04.2026</w:t>
            </w:r>
          </w:p>
        </w:tc>
      </w:tr>
      <w:tr>
        <w:tc>
          <w:tcPr>
            <w:tcW w:type="dxa" w:w="3024"/>
          </w:tcPr>
          <w:p>
            <w:r>
              <w:rPr>
                <w:rFonts w:ascii="Times New Roman" w:hAnsi="Times New Roman"/>
                <w:sz w:val="20"/>
              </w:rPr>
              <w:t>Bl. 701–706</w:t>
            </w:r>
          </w:p>
        </w:tc>
        <w:tc>
          <w:tcPr>
            <w:tcW w:type="dxa" w:w="3024"/>
          </w:tcPr>
          <w:p>
            <w:r>
              <w:rPr>
                <w:rFonts w:ascii="Times New Roman" w:hAnsi="Times New Roman"/>
                <w:sz w:val="20"/>
              </w:rPr>
              <w:t>Protokoll der Hauptverhandlung, 2. Sitzungstag</w:t>
            </w:r>
          </w:p>
        </w:tc>
        <w:tc>
          <w:tcPr>
            <w:tcW w:type="dxa" w:w="3024"/>
          </w:tcPr>
          <w:p>
            <w:r>
              <w:rPr>
                <w:rFonts w:ascii="Times New Roman" w:hAnsi="Times New Roman"/>
                <w:sz w:val="20"/>
              </w:rPr>
              <w:t>12.05.2026</w:t>
            </w:r>
          </w:p>
        </w:tc>
      </w:tr>
      <w:tr>
        <w:tc>
          <w:tcPr>
            <w:tcW w:type="dxa" w:w="3024"/>
          </w:tcPr>
          <w:p>
            <w:r>
              <w:rPr>
                <w:rFonts w:ascii="Times New Roman" w:hAnsi="Times New Roman"/>
                <w:sz w:val="20"/>
              </w:rPr>
              <w:t>Bl. 714–719</w:t>
            </w:r>
          </w:p>
        </w:tc>
        <w:tc>
          <w:tcPr>
            <w:tcW w:type="dxa" w:w="3024"/>
          </w:tcPr>
          <w:p>
            <w:r>
              <w:rPr>
                <w:rFonts w:ascii="Times New Roman" w:hAnsi="Times New Roman"/>
                <w:sz w:val="20"/>
              </w:rPr>
              <w:t>Auswertebericht PP Wuppertal, Mobiltelefon Kranz</w:t>
            </w:r>
          </w:p>
        </w:tc>
        <w:tc>
          <w:tcPr>
            <w:tcW w:type="dxa" w:w="3024"/>
          </w:tcPr>
          <w:p>
            <w:r>
              <w:rPr>
                <w:rFonts w:ascii="Times New Roman" w:hAnsi="Times New Roman"/>
                <w:sz w:val="20"/>
              </w:rPr>
              <w:t>03.06.2026</w:t>
            </w:r>
          </w:p>
        </w:tc>
      </w:tr>
      <w:tr>
        <w:tc>
          <w:tcPr>
            <w:tcW w:type="dxa" w:w="3024"/>
          </w:tcPr>
          <w:p>
            <w:r>
              <w:rPr>
                <w:rFonts w:ascii="Times New Roman" w:hAnsi="Times New Roman"/>
                <w:sz w:val="20"/>
              </w:rPr>
              <w:t>Bl. 720–724</w:t>
            </w:r>
          </w:p>
        </w:tc>
        <w:tc>
          <w:tcPr>
            <w:tcW w:type="dxa" w:w="3024"/>
          </w:tcPr>
          <w:p>
            <w:r>
              <w:rPr>
                <w:rFonts w:ascii="Times New Roman" w:hAnsi="Times New Roman"/>
                <w:sz w:val="20"/>
              </w:rPr>
              <w:t>Chat-Export Sowinski/Kranz (Anlage 2 zum Auswertebericht)</w:t>
            </w:r>
          </w:p>
        </w:tc>
        <w:tc>
          <w:tcPr>
            <w:tcW w:type="dxa" w:w="3024"/>
          </w:tcPr>
          <w:p>
            <w:r>
              <w:rPr>
                <w:rFonts w:ascii="Times New Roman" w:hAnsi="Times New Roman"/>
                <w:sz w:val="20"/>
              </w:rPr>
              <w:t>03.06.2026</w:t>
            </w:r>
          </w:p>
        </w:tc>
      </w:tr>
      <w:tr>
        <w:tc>
          <w:tcPr>
            <w:tcW w:type="dxa" w:w="3024"/>
          </w:tcPr>
          <w:p>
            <w:r>
              <w:rPr>
                <w:rFonts w:ascii="Times New Roman" w:hAnsi="Times New Roman"/>
                <w:sz w:val="20"/>
              </w:rPr>
              <w:t>Bl. 728–730</w:t>
            </w:r>
          </w:p>
        </w:tc>
        <w:tc>
          <w:tcPr>
            <w:tcW w:type="dxa" w:w="3024"/>
          </w:tcPr>
          <w:p>
            <w:r>
              <w:rPr>
                <w:rFonts w:ascii="Times New Roman" w:hAnsi="Times New Roman"/>
                <w:sz w:val="20"/>
              </w:rPr>
              <w:t>Vermerk der Staatsanwaltschaft über neue Erkenntnisse</w:t>
            </w:r>
          </w:p>
        </w:tc>
        <w:tc>
          <w:tcPr>
            <w:tcW w:type="dxa" w:w="3024"/>
          </w:tcPr>
          <w:p>
            <w:r>
              <w:rPr>
                <w:rFonts w:ascii="Times New Roman" w:hAnsi="Times New Roman"/>
                <w:sz w:val="20"/>
              </w:rPr>
              <w:t>08.06.2026</w:t>
            </w:r>
          </w:p>
        </w:tc>
      </w:tr>
      <w:tr>
        <w:tc>
          <w:tcPr>
            <w:tcW w:type="dxa" w:w="3024"/>
          </w:tcPr>
          <w:p>
            <w:r>
              <w:rPr>
                <w:rFonts w:ascii="Times New Roman" w:hAnsi="Times New Roman"/>
                <w:sz w:val="20"/>
              </w:rPr>
              <w:t>Bl. 735–738</w:t>
            </w:r>
          </w:p>
        </w:tc>
        <w:tc>
          <w:tcPr>
            <w:tcW w:type="dxa" w:w="3024"/>
          </w:tcPr>
          <w:p>
            <w:r>
              <w:rPr>
                <w:rFonts w:ascii="Times New Roman" w:hAnsi="Times New Roman"/>
                <w:sz w:val="20"/>
              </w:rPr>
              <w:t>Beschlussentwurf der Kammer (Lösung von der Verständigung)</w:t>
            </w:r>
          </w:p>
        </w:tc>
        <w:tc>
          <w:tcPr>
            <w:tcW w:type="dxa" w:w="3024"/>
          </w:tcPr>
          <w:p>
            <w:r>
              <w:rPr>
                <w:rFonts w:ascii="Times New Roman" w:hAnsi="Times New Roman"/>
                <w:sz w:val="20"/>
              </w:rPr>
              <w:t>22.06.2026</w:t>
            </w:r>
          </w:p>
        </w:tc>
      </w:tr>
      <w:tr>
        <w:tc>
          <w:tcPr>
            <w:tcW w:type="dxa" w:w="3024"/>
          </w:tcPr>
          <w:p>
            <w:r>
              <w:rPr>
                <w:rFonts w:ascii="Times New Roman" w:hAnsi="Times New Roman"/>
                <w:sz w:val="20"/>
              </w:rPr>
              <w:t>Bl. 741–748</w:t>
            </w:r>
          </w:p>
        </w:tc>
        <w:tc>
          <w:tcPr>
            <w:tcW w:type="dxa" w:w="3024"/>
          </w:tcPr>
          <w:p>
            <w:r>
              <w:rPr>
                <w:rFonts w:ascii="Times New Roman" w:hAnsi="Times New Roman"/>
                <w:sz w:val="20"/>
              </w:rPr>
              <w:t>Schriftsatz des Verteidigers</w:t>
            </w:r>
          </w:p>
        </w:tc>
        <w:tc>
          <w:tcPr>
            <w:tcW w:type="dxa" w:w="3024"/>
          </w:tcPr>
          <w:p>
            <w:r>
              <w:rPr>
                <w:rFonts w:ascii="Times New Roman" w:hAnsi="Times New Roman"/>
                <w:sz w:val="20"/>
              </w:rPr>
              <w:t>26.06.2026</w:t>
            </w:r>
          </w:p>
        </w:tc>
      </w:tr>
      <w:tr>
        <w:tc>
          <w:tcPr>
            <w:tcW w:type="dxa" w:w="3024"/>
          </w:tcPr>
          <w:p>
            <w:r>
              <w:rPr>
                <w:rFonts w:ascii="Times New Roman" w:hAnsi="Times New Roman"/>
                <w:sz w:val="20"/>
              </w:rPr>
              <w:t>Bl. 752–756</w:t>
            </w:r>
          </w:p>
        </w:tc>
        <w:tc>
          <w:tcPr>
            <w:tcW w:type="dxa" w:w="3024"/>
          </w:tcPr>
          <w:p>
            <w:r>
              <w:rPr>
                <w:rFonts w:ascii="Times New Roman" w:hAnsi="Times New Roman"/>
                <w:sz w:val="20"/>
              </w:rPr>
              <w:t>Stellungnahme der Staatsanwaltschaft</w:t>
            </w:r>
          </w:p>
        </w:tc>
        <w:tc>
          <w:tcPr>
            <w:tcW w:type="dxa" w:w="3024"/>
          </w:tcPr>
          <w:p>
            <w:r>
              <w:rPr>
                <w:rFonts w:ascii="Times New Roman" w:hAnsi="Times New Roman"/>
                <w:sz w:val="20"/>
              </w:rPr>
              <w:t>01.07.2026</w:t>
            </w:r>
          </w:p>
        </w:tc>
      </w:tr>
    </w:tbl>
    <w:p>
      <w:pPr>
        <w:jc w:val="left"/>
      </w:pPr>
      <w:r>
        <w:rPr>
          <w:b/>
        </w:rPr>
        <w:t>Verfahrensstand:</w:t>
      </w:r>
      <w:r>
        <w:t xml:space="preserve"> Die Hauptverhandlung ist durch Beschluss der Kammer vom 12. Mai 2026 ausgesetzt worden (§ 228 Abs. 1 Satz 1 StPO). Die neue Hauptverhandlung ist nach der Terminsverfügung des Vorsitzenden vom 30. Juni 2026 für die Zeit ab Mitte September 2026 vorgesehen; zuvor entscheidet die Kammer über den Beschlussentwurf zur Lösung von der Verständigung (Bl. 735–738 d. A.). Die Staatsanwaltschaft hat eine Nachtragsanklage betreffend einen weiteren Erwerbsvorgang angekündigt (Bl. 728 ff. d. A.).</w:t>
      </w:r>
    </w:p>
    <w:p>
      <w:pPr>
        <w:jc w:val="left"/>
      </w:pPr>
      <w:r>
        <w:t>Wuppertal, den 1. Juli 2026</w:t>
      </w:r>
    </w:p>
    <w:p>
      <w:pPr>
        <w:jc w:val="left"/>
      </w:pPr>
      <w:r>
        <w:t>Justizbeschäftigte Kramer</w:t>
      </w:r>
    </w:p>
    <w:p>
      <w:pPr>
        <w:jc w:val="left"/>
      </w:pPr>
      <w:r>
        <w:t>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