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Hauptverhandlung — 2. Sitzungstag (12. Mai 2026)</w:t>
      </w:r>
    </w:p>
    <w:p>
      <w:pPr>
        <w:jc w:val="left"/>
      </w:pPr>
      <w:r>
        <w:rPr>
          <w:b/>
        </w:rPr>
        <w:t>Landgericht Wuppertal</w:t>
      </w:r>
    </w:p>
    <w:p>
      <w:pPr>
        <w:pStyle w:val="ListNumber"/>
      </w:pPr>
      <w:r>
        <w:t>große Strafkammer — Wirtschaftsstrafkammer —</w:t>
      </w:r>
    </w:p>
    <w:p>
      <w:pPr>
        <w:jc w:val="left"/>
      </w:pPr>
      <w:r>
        <w:t>Eiland 1, 42103 Wuppertal</w:t>
      </w:r>
    </w:p>
    <w:p>
      <w:pPr>
        <w:jc w:val="left"/>
      </w:pPr>
      <w:r>
        <w:rPr>
          <w:b/>
        </w:rPr>
        <w:t>Aktenzeichen:</w:t>
      </w:r>
      <w:r>
        <w:t xml:space="preserve"> 26 KLs 4/26</w:t>
      </w:r>
    </w:p>
    <w:p>
      <w:pPr>
        <w:jc w:val="left"/>
      </w:pPr>
      <w:r>
        <w:t>Bl. 701–706 d. A.</w:t>
      </w:r>
    </w:p>
    <w:p>
      <w:pPr>
        <w:pStyle w:val="Heading2"/>
      </w:pPr>
      <w:r>
        <w:rPr>
          <w:rFonts w:ascii="Times New Roman" w:hAnsi="Times New Roman"/>
        </w:rPr>
        <w:t>Protokoll der öffentlichen Sitzung vom 12. Mai 2026</w:t>
      </w:r>
    </w:p>
    <w:p>
      <w:pPr>
        <w:jc w:val="left"/>
      </w:pPr>
      <w:r>
        <w:t>Beginn: 9:02 Uhr</w:t>
      </w:r>
    </w:p>
    <w:p>
      <w:pPr>
        <w:jc w:val="left"/>
      </w:pPr>
      <w:r>
        <w:rPr>
          <w:b/>
        </w:rPr>
        <w:t>Gegenwärtig:</w:t>
      </w:r>
      <w:r>
        <w:t xml:space="preserve"> wie am 1. Sitzungstag (Vorsitzender Richter am Landgericht Dr. Bredebusch, Richterin am Landgericht Terhorst, Schöffin Ohlendorf, Schöffe Waskönig, Oberstaatsanwältin Dr. Roggenkamp, Rechtsanwalt Dr. Fehling als Verteidiger, Justizbeschäftigte Kramer als Urkundsbeamtin der Geschäftsstelle). Der Angeklagte ist erschienen. Als Zeuge ist erschienen: KHK Petersen, PP Wuppertal.</w:t>
      </w:r>
    </w:p>
    <w:p>
      <w:pPr>
        <w:jc w:val="left"/>
      </w:pPr>
      <w:r>
        <w:t>1 Der Vorsitzende stellte fest, dass Erörterungen nach §§ 202a, 212 StPO seit dem letzten Sitzungstag nicht stattgefunden haben (§ 243 Abs. 4 Satz 2 StPO).</w:t>
      </w:r>
    </w:p>
    <w:p>
      <w:pPr>
        <w:jc w:val="left"/>
      </w:pPr>
      <w:r>
        <w:t>2 Der Zeuge KHK Petersen wurde zur Person vernommen: 47 Jahre, Kriminalhauptkommissar beim Polizeipräsidium Wuppertal, mit den Beteiligten nicht verwandt oder verschwägert. Er wurde nach § 57 StPO belehrt.</w:t>
      </w:r>
    </w:p>
    <w:p>
      <w:pPr>
        <w:jc w:val="left"/>
      </w:pPr>
      <w:r>
        <w:t>3 Der Zeuge bekundete zur Sache: Die Ermittlungskommission "Achse" habe die Lagerhalle an der Nützenberger Straße ab April 2025 observiert. Am 20. Mai 2025 und am 16. Juni 2025 sei der Angeklagte beim Verladen von Fahrzeugteilen beobachtet und lichtbildlich dokumentiert worden. Die Zuordnung der 209 Teile zu den zwölf Herkunftsfahrzeugen sei über Teilenummern, Fahrgestellnummern-Fragmente und die Plattformangebote erfolgt. Die Erlösermittlung beruhe auf den von der Plattform "TeileMarkt24" herausgegebenen Abrechnungsdaten und decke sich mit der Kontoverdichtung.</w:t>
      </w:r>
    </w:p>
    <w:p>
      <w:pPr>
        <w:jc w:val="left"/>
      </w:pPr>
      <w:r>
        <w:t>4 Der Zeuge wurde im allseitigen Einvernehmen um 10:21 Uhr entlassen; auf Vereidigung wurde verzichtet (§ 59 Abs. 1 StPO).</w:t>
      </w:r>
    </w:p>
    <w:p>
      <w:pPr>
        <w:jc w:val="left"/>
      </w:pPr>
      <w:r>
        <w:t>5 Im Wege des Urkundsbeweises wurden gemäß § 249 Abs. 1 StPO verlesen: die Beuteliste (Anlage 4 zur Anklage, Bl. 670–671 d. A.) und die Auszahlungsübersicht der Plattform "TeileMarkt24" (Anlage 5 zur Anklage, Bl. 672–673 d. A.).</w:t>
      </w:r>
    </w:p>
    <w:p>
      <w:pPr>
        <w:jc w:val="left"/>
      </w:pPr>
      <w:r>
        <w:t>6 Der Angeklagte erklärte auf Befragen, die verlesenen Listen träfen zu; ihnen sei nichts hinzuzufügen.</w:t>
      </w:r>
    </w:p>
    <w:p>
      <w:pPr>
        <w:jc w:val="left"/>
      </w:pPr>
      <w:r>
        <w:t>7 Die Oberstaatsanwältin beantragte, die Hauptverhandlung auszusetzen. Das Polizeipräsidium Wuppertal habe die Auswertung eines erst kürzlich entsperrten Mobiltelefons des gesondert verfolgten Kranz angekündigt; die Auswertung könne für den Schuld- und Rechtsfolgenausspruch bedeutsame weitere Erwerbsvorgänge des Angeklagten betreffen und werde voraussichtlich mehrere Wochen in Anspruch nehmen. Eine Fortsetzung innerhalb der Fristen des § 229 StPO sei nicht gesichert. Der Verteidiger trat dem Antrag entgegen und regte an, die Beweisaufnahme zu schließen.</w:t>
      </w:r>
    </w:p>
    <w:p>
      <w:pPr>
        <w:jc w:val="left"/>
      </w:pPr>
      <w:r>
        <w:t>8 Die Kammer beschloss nach geheimer Beratung: "Die Hauptverhandlung wird ausgesetzt (§ 228 Abs. 1 Satz 1 StPO). Ein neuer Termin wird von Amts wegen bestimmt." Der Vorsitzende begründete den Beschluss damit, dass die angekündigte Auswertung abgewartet werden müsse und die Unterbrechungsfristen des § 229 StPO hierfür nicht ausreichten.</w:t>
      </w:r>
    </w:p>
    <w:p>
      <w:pPr>
        <w:jc w:val="left"/>
      </w:pPr>
      <w:r>
        <w:t>Ende: 11:47 Uhr</w:t>
      </w:r>
    </w:p>
    <w:p>
      <w:pPr>
        <w:jc w:val="left"/>
      </w:pPr>
      <w:r>
        <w:t>Dr. Bredebusch</w:t>
      </w:r>
    </w:p>
    <w:p>
      <w:pPr>
        <w:jc w:val="left"/>
      </w:pPr>
      <w:r>
        <w:t>Vorsitzender Richter am Landgericht</w:t>
      </w:r>
    </w:p>
    <w:p>
      <w:pPr>
        <w:jc w:val="left"/>
      </w:pPr>
      <w:r>
        <w:t>Kramer</w:t>
      </w:r>
    </w:p>
    <w:p>
      <w:pPr>
        <w:jc w:val="left"/>
      </w:pPr>
      <w:r>
        <w:t>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