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der Staatsanwaltschaft Wuppertal vom 1. Juli 2026</w:t>
      </w:r>
    </w:p>
    <w:p>
      <w:pPr>
        <w:jc w:val="left"/>
      </w:pPr>
      <w:r>
        <w:rPr>
          <w:b/>
        </w:rPr>
        <w:t>Staatsanwaltschaft Wuppertal</w:t>
      </w:r>
    </w:p>
    <w:p>
      <w:pPr>
        <w:jc w:val="left"/>
      </w:pPr>
      <w:r>
        <w:t>Eiland 2, 42103 Wuppertal</w:t>
      </w:r>
    </w:p>
    <w:p>
      <w:pPr>
        <w:jc w:val="left"/>
      </w:pPr>
      <w:r>
        <w:t>Telefon: 0202 5748-0 | Telefax: 0202 5748-390 | E-Mail: poststelle@sta-wuppertal.nrw.de</w:t>
      </w:r>
    </w:p>
    <w:p>
      <w:pPr>
        <w:jc w:val="left"/>
      </w:pPr>
      <w:r>
        <w:rPr>
          <w:b/>
        </w:rPr>
        <w:t>Aktenzeichen:</w:t>
      </w:r>
      <w:r>
        <w:t xml:space="preserve"> 26 Js 1447/25</w:t>
      </w:r>
    </w:p>
    <w:p>
      <w:pPr>
        <w:jc w:val="left"/>
      </w:pPr>
      <w:r>
        <w:t>Wuppertal, den 1. Juli 2026</w:t>
      </w:r>
    </w:p>
    <w:p>
      <w:pPr>
        <w:jc w:val="left"/>
      </w:pPr>
      <w:r>
        <w:rPr>
          <w:b/>
        </w:rPr>
        <w:t>An das Landgericht Wuppertal, 6. große Strafkammer — Wirtschaftsstrafkammer —, Eiland 1, 42103 Wuppertal</w:t>
      </w:r>
    </w:p>
    <w:p>
      <w:pPr>
        <w:jc w:val="left"/>
      </w:pPr>
      <w:r>
        <w:rPr>
          <w:i/>
        </w:rPr>
        <w:t>Zustellweg: elektronisch (§ 32b StPO)</w:t>
      </w:r>
    </w:p>
    <w:p>
      <w:pPr>
        <w:jc w:val="left"/>
      </w:pPr>
      <w:r>
        <w:rPr>
          <w:b/>
        </w:rPr>
        <w:t>Betreff: Strafsache gegen Marek Sowinski, 26 KLs 4/26 — Stellungnahme zum Beschlussentwurf vom 22. Juni 2026 und zum Verteidigerschriftsatz vom 26. Juni 2026</w:t>
      </w:r>
    </w:p>
    <w:p>
      <w:pPr>
        <w:jc w:val="left"/>
      </w:pPr>
      <w:r>
        <w:t>Bl. 752–756 d. A.</w:t>
      </w:r>
    </w:p>
    <w:p>
      <w:pPr>
        <w:pStyle w:val="Heading2"/>
      </w:pPr>
      <w:r>
        <w:rPr>
          <w:rFonts w:ascii="Times New Roman" w:hAnsi="Times New Roman"/>
        </w:rPr>
        <w:t>1 Zur Lösung von der Verständigung</w:t>
      </w:r>
    </w:p>
    <w:p>
      <w:pPr>
        <w:jc w:val="left"/>
      </w:pPr>
      <w:r>
        <w:t>Die Staatsanwaltschaft tritt dem Beschlussentwurf bei. Die Voraussetzungen des § 257c Abs. 4 Satz 1 StPO liegen vor. Es haben sich tatsächlich bedeutsame Umstände neu ergeben: Grundlage der Strafrahmenzusage war ein vollständiges, von Aufklärungswillen getragenes Geständnis, das die Erklärung einschloss, weitere Ankäufe habe es nicht gegeben. Diese Erklärung ist nach dem Auswertebericht vom 3. Juni 2026 falsch. Entgegen der Auffassung der Verteidigung kommt es nicht darauf an, dass der Vorgang vom 24. Oktober 2025 nicht angeklagt ist. Für die Strafzumessung in den Fällen 1 bis 12 sind das Nachtatverhalten und die Glaubhaftigkeit des Geständnisses unmittelbar bedeutsam; ein Geständnis, das die Fortsetzung der Bandentätigkeit verschweigt, trägt die zugesagte erhebliche Strafmilderung nicht. Der in Aussicht gestellte Rahmen ist daher nicht mehr schuldangemessen.</w:t>
      </w:r>
    </w:p>
    <w:p>
      <w:pPr>
        <w:pStyle w:val="Heading2"/>
      </w:pPr>
      <w:r>
        <w:rPr>
          <w:rFonts w:ascii="Times New Roman" w:hAnsi="Times New Roman"/>
        </w:rPr>
        <w:t>2 Zum behaupteten Belehrungsmangel</w:t>
      </w:r>
    </w:p>
    <w:p>
      <w:pPr>
        <w:jc w:val="left"/>
      </w:pPr>
      <w:r>
        <w:t>Die Rüge greift im Ergebnis nicht durch, führt jedenfalls nicht zu dem von der Verteidigung gewünschten umfassenden Verwertungsverbot eigener Art.</w:t>
      </w:r>
    </w:p>
    <w:p>
      <w:pPr>
        <w:jc w:val="left"/>
      </w:pPr>
      <w:r>
        <w:t>2.1 Nach dem Vermerk des Vorsitzenden vom 29. April 2026 ist die Belehrung nach § 257c Abs. 5 StPO tatsächlich erteilt worden. Sollte die Kammer dies ebenso erinnern, wäre vorrangig ein Verfahren zur Berichtigung des Protokolls zu erwägen; das Protokoll ist kein unabänderliches Dokument, sondern kann bei übereinstimmender sicherer Erinnerung der Urkundspersonen berichtigt werden. Erst ein berichtigtes oder unberichtigtes Protokoll bildet die Grundlage der Beweiskraft nach § 274 StPO.</w:t>
      </w:r>
    </w:p>
    <w:p>
      <w:pPr>
        <w:jc w:val="left"/>
      </w:pPr>
      <w:r>
        <w:t>2.2 Unabhängig davon verkennt die Verteidigung die Rechtsfolge: Ein Verstoß gegen § 257c Abs. 5 StPO macht die Verständigung nicht rückwirkend zu einem Nullum und lässt die Bindungsfrage nicht entfallen; er begründet — für eine spätere Revision — die Frage des Beruhens des Urteils auf dem Mangel. Für das weitere Verfahren ist allein maßgeblich, dass die Kammer, wenn sie sich löst, das Geständnis nach § 257c Abs. 4 Satz 3 StPO nicht verwerten darf. Eben dies sieht der Beschlussentwurf vor. Der Angeklagte steht damit so, wie er ohne Verständigung stünde; ein weitergehender Schutz ist auch bei unterstelltem Belehrungsmangel nicht geboten.</w:t>
      </w:r>
    </w:p>
    <w:p>
      <w:pPr>
        <w:jc w:val="left"/>
      </w:pPr>
      <w:r>
        <w:t>2.3 Dem Verwertungsverbot unterliegt das Geständnis einschließlich der Anlage 1 zum Protokoll. Nicht erfasst sind hingegen Beweismittel, die unabhängig von dem Geständnis gewonnen wurden, namentlich der Chat-Export aus dem Verfahren gegen den gesondert verfolgten Kranz, die Plattform- und Kontodaten sowie die Observationserkenntnisse. Die Auffassung der Verteidigung, das Verwertungsverbot erstrecke sich auf das Verfahren 26 Js 902/26 auch hinsichtlich solcher unabhängiger Beweismittel, findet in § 257c Abs. 4 Satz 3 StPO keine Grundlage.</w:t>
      </w:r>
    </w:p>
    <w:p>
      <w:pPr>
        <w:pStyle w:val="Heading2"/>
      </w:pPr>
      <w:r>
        <w:rPr>
          <w:rFonts w:ascii="Times New Roman" w:hAnsi="Times New Roman"/>
        </w:rPr>
        <w:t>3 Weiteres Vorgehen</w:t>
      </w:r>
    </w:p>
    <w:p>
      <w:pPr>
        <w:jc w:val="left"/>
      </w:pPr>
      <w:r>
        <w:t>Die Staatsanwaltschaft wird die Anklage im Verfahren 26 Js 902/26 binnen drei Wochen erheben und die Verbindung beantragen. Um zeitnahe Entscheidung über den Beschlussentwurf und Bestimmung neuer Hauptverhandlungstermine wird gebeten.</w:t>
      </w:r>
    </w:p>
    <w:p>
      <w:pPr>
        <w:jc w:val="left"/>
      </w:pPr>
      <w:r>
        <w:t>Dr. Roggenkamp</w:t>
      </w:r>
    </w:p>
    <w:p>
      <w:pPr>
        <w:jc w:val="left"/>
      </w:pPr>
      <w:r>
        <w:t>Oberstaatsanwältin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Staatsanwaltschaft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Staatsanwaltschaft Wuppertal</w:t>
    </w:r>
  </w:p>
  <w:p>
    <w:pPr>
      <w:jc w:val="left"/>
      <w:pBdr>
        <w:bottom w:val="single" w:sz="6" w:space="2" w:color="3B3F45"/>
      </w:pBdr>
    </w:pPr>
    <w:r>
      <w:rPr>
        <w:rFonts w:ascii="Times New Roman" w:hAnsi="Times New Roman"/>
        <w:color w:val="6B6B66"/>
        <w:sz w:val="16"/>
      </w:rPr>
      <w:t>Gericht · Aktenzeichen: 26 Js 1447/25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