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Strafzumessungskriterien — § 46 StGB Katalog</w:t>
      </w:r>
    </w:p>
    <w:p>
      <w:pPr>
        <w:jc w:val="left"/>
      </w:pPr>
      <w:r>
        <w:rPr>
          <w:b/>
        </w:rPr>
        <w:t>Aktenzeichen:</w:t>
      </w:r>
      <w:r>
        <w:t xml:space="preserve"> LG Frankfurt 5-22 KLs 188/26 | WS-2026-STR-0414</w:t>
      </w:r>
    </w:p>
    <w:p>
      <w:pPr>
        <w:jc w:val="left"/>
      </w:pPr>
      <w:r>
        <w:rPr>
          <w:b/>
        </w:rPr>
        <w:t>Bearbeitung:</w:t>
      </w:r>
      <w:r>
        <w:t xml:space="preserve"> Prof. Dr. H. Wittfeldt-Steinheim</w:t>
      </w:r>
    </w:p>
    <w:p>
      <w:pPr>
        <w:jc w:val="left"/>
      </w:pPr>
      <w:r>
        <w:rPr>
          <w:b/>
        </w:rPr>
        <w:t>Datum:</w:t>
      </w:r>
      <w:r>
        <w:t xml:space="preserve"> 15.03.2026</w:t>
      </w:r>
    </w:p>
    <w:p/>
    <w:p>
      <w:pPr>
        <w:pStyle w:val="Heading2"/>
      </w:pPr>
      <w:r>
        <w:rPr>
          <w:rFonts w:ascii="Times New Roman" w:hAnsi="Times New Roman"/>
        </w:rPr>
        <w:t>§ 46 StGB — Grundsätze der Strafzumessung</w:t>
      </w:r>
    </w:p>
    <w:p>
      <w:pPr>
        <w:jc w:val="left"/>
      </w:pPr>
      <w:r>
        <w:rPr>
          <w:b/>
        </w:rPr>
        <w:t>§ 46 Abs. 1 StGB:</w:t>
      </w:r>
      <w:r>
        <w:t xml:space="preserve"> Die Schuld des Täters ist Grundlage für die Zumessung der Strafe. Die Wirkungen, die von der Strafe für das künftige Leben des Täters in der Gesellschaft zu erwarten sind, sind zu berücksichtigen.</w:t>
      </w:r>
    </w:p>
    <w:p>
      <w:pPr>
        <w:jc w:val="left"/>
      </w:pPr>
      <w:r>
        <w:rPr>
          <w:b/>
        </w:rPr>
        <w:t>§ 46 Abs. 2 StGB:</w:t>
      </w:r>
      <w:r>
        <w:t xml:space="preserve"> Bei der Zumessung wägt das Gericht die Umstände, die für und gegen den Täter sprechen, gegeneinander ab. Dabei kommen namentlich in Betracht:</w:t>
      </w:r>
    </w:p>
    <w:p>
      <w:pPr>
        <w:pStyle w:val="ListBullet"/>
      </w:pPr>
      <w:r>
        <w:t>die Beweggründe und Ziele des Täters</w:t>
      </w:r>
    </w:p>
    <w:p>
      <w:pPr>
        <w:pStyle w:val="ListBullet"/>
      </w:pPr>
      <w:r>
        <w:t>die Gesinnung, die aus der Tat spricht, und der bei der Tat aufgewendete Wille</w:t>
      </w:r>
    </w:p>
    <w:p>
      <w:pPr>
        <w:pStyle w:val="ListBullet"/>
      </w:pPr>
      <w:r>
        <w:t>das Maß der Pflichtwidrigkeit</w:t>
      </w:r>
    </w:p>
    <w:p>
      <w:pPr>
        <w:pStyle w:val="ListBullet"/>
      </w:pPr>
      <w:r>
        <w:t>die Art der Ausführung und die verschuldeten Auswirkungen der Tat</w:t>
      </w:r>
    </w:p>
    <w:p>
      <w:pPr>
        <w:pStyle w:val="ListBullet"/>
      </w:pPr>
      <w:r>
        <w:t>das Vorleben des Täters, seine persönlichen und wirtschaftlichen Verhältnisse sowie sein Verhalten nach der Tat, besonders sein Bemühen, den Schaden wiedergutzumachen, sowie das Bemühen des Täters, einen Ausgleich mit dem Verletzten zu erreichen</w:t>
      </w:r>
    </w:p>
    <w:p>
      <w:pPr>
        <w:jc w:val="left"/>
      </w:pPr>
      <w:r>
        <w:rPr>
          <w:b/>
        </w:rPr>
        <w:t>Gesetzliche Quelle:</w:t>
      </w:r>
      <w:r>
        <w:t xml:space="preserve"> https://dejure.org/gesetze/StGB/46.html</w:t>
      </w:r>
    </w:p>
    <w:p/>
    <w:p>
      <w:pPr>
        <w:pStyle w:val="Heading2"/>
      </w:pPr>
      <w:r>
        <w:rPr>
          <w:rFonts w:ascii="Times New Roman" w:hAnsi="Times New Roman"/>
        </w:rPr>
        <w:t>Systematische Anwendung auf den Fall Bankert</w:t>
      </w:r>
    </w:p>
    <w:p>
      <w:pPr>
        <w:pStyle w:val="Heading3"/>
      </w:pPr>
      <w:r>
        <w:rPr>
          <w:rFonts w:ascii="Times New Roman" w:hAnsi="Times New Roman"/>
        </w:rPr>
        <w:t>I. Belastende Strafzumessungsgründe</w:t>
      </w:r>
    </w:p>
    <w:p>
      <w:pPr>
        <w:pStyle w:val="Heading3"/>
      </w:pPr>
      <w:r>
        <w:rPr>
          <w:rFonts w:ascii="Times New Roman" w:hAnsi="Times New Roman"/>
        </w:rPr>
        <w:t>1. Schadenshöhe (§ 46 Abs. 2 StGB — Art der Tat)</w:t>
      </w:r>
    </w:p>
    <w:p>
      <w:pPr>
        <w:jc w:val="left"/>
      </w:pPr>
      <w:r>
        <w:rPr>
          <w:b/>
        </w:rPr>
        <w:t>Tatsache:</w:t>
      </w:r>
      <w:r>
        <w:t xml:space="preserve"> Gesamtschaden 9 Mio. EUR.</w:t>
      </w:r>
    </w:p>
    <w:p>
      <w:pPr>
        <w:jc w:val="left"/>
      </w:pPr>
      <w:r>
        <w:rPr>
          <w:b/>
        </w:rPr>
        <w:t>Gewichtung:</w:t>
      </w:r>
      <w:r>
        <w:t xml:space="preserve"> Sehr schwer (Schwerste Kategorie bei Untreue).</w:t>
      </w:r>
    </w:p>
    <w:p>
      <w:pPr>
        <w:jc w:val="left"/>
      </w:pPr>
      <w:r>
        <w:rPr>
          <w:b/>
        </w:rPr>
        <w:t>Bezug BGH:</w:t>
      </w:r>
      <w:r>
        <w:t xml:space="preserve"> BGH 1 StR 354/17 (Untreue 8,3 Mio. EUR, Strafrahmen 5-8 Jahre diskutiert).</w:t>
      </w:r>
    </w:p>
    <w:p>
      <w:pPr>
        <w:jc w:val="left"/>
      </w:pPr>
      <w:r>
        <w:rPr>
          <w:b/>
        </w:rPr>
        <w:t>Bewertung:</w:t>
      </w:r>
      <w:r>
        <w:t xml:space="preserve"> Erheblich belastend; dominiert den Strafzumessungsrahmen.</w:t>
      </w:r>
    </w:p>
    <w:p>
      <w:pPr>
        <w:pStyle w:val="Heading3"/>
      </w:pPr>
      <w:r>
        <w:rPr>
          <w:rFonts w:ascii="Times New Roman" w:hAnsi="Times New Roman"/>
        </w:rPr>
        <w:t>2. Tatdauer — 4 Jahre (§ 46 Abs. 2 — "Ausführungsweise")</w:t>
      </w:r>
    </w:p>
    <w:p>
      <w:pPr>
        <w:jc w:val="left"/>
      </w:pPr>
      <w:r>
        <w:rPr>
          <w:b/>
        </w:rPr>
        <w:t>Tatsache:</w:t>
      </w:r>
      <w:r>
        <w:t xml:space="preserve"> 110 Einzelüberweisungen über 4 Jahre (Jan 2020 – Okt 2024).</w:t>
      </w:r>
    </w:p>
    <w:p>
      <w:pPr>
        <w:jc w:val="left"/>
      </w:pPr>
      <w:r>
        <w:rPr>
          <w:b/>
        </w:rPr>
        <w:t>Gewichtung:</w:t>
      </w:r>
      <w:r>
        <w:t xml:space="preserve"> Schwer — planmäßiges, lang andauerndes Handeln.</w:t>
      </w:r>
    </w:p>
    <w:p>
      <w:pPr>
        <w:jc w:val="left"/>
      </w:pPr>
      <w:r>
        <w:rPr>
          <w:b/>
        </w:rPr>
        <w:t>Bewertung:</w:t>
      </w:r>
      <w:r>
        <w:t xml:space="preserve"> Belastend; kein spontaner Entschluss, sondern systematisches Vorgehen.</w:t>
      </w:r>
    </w:p>
    <w:p>
      <w:pPr>
        <w:pStyle w:val="Heading3"/>
      </w:pPr>
      <w:r>
        <w:rPr>
          <w:rFonts w:ascii="Times New Roman" w:hAnsi="Times New Roman"/>
        </w:rPr>
        <w:t>3. Verdeckungshandlungen</w:t>
      </w:r>
    </w:p>
    <w:p>
      <w:pPr>
        <w:jc w:val="left"/>
      </w:pPr>
      <w:r>
        <w:rPr>
          <w:b/>
        </w:rPr>
        <w:t>Tatsache:</w:t>
      </w:r>
      <w:r>
        <w:t xml:space="preserve"> Gefälschte Buchungsbelege, irreführende Bezeichnungen.</w:t>
      </w:r>
    </w:p>
    <w:p>
      <w:pPr>
        <w:jc w:val="left"/>
      </w:pPr>
      <w:r>
        <w:rPr>
          <w:b/>
        </w:rPr>
        <w:t>Gewichtung:</w:t>
      </w:r>
      <w:r>
        <w:t xml:space="preserve"> Mittel — erschwerend wegen aktiver Täuschung.</w:t>
      </w:r>
    </w:p>
    <w:p>
      <w:pPr>
        <w:jc w:val="left"/>
      </w:pPr>
      <w:r>
        <w:rPr>
          <w:b/>
        </w:rPr>
        <w:t>Bewertung:</w:t>
      </w:r>
      <w:r>
        <w:t xml:space="preserve"> Belastend; erschwerter Nachweis für die Geschädigte.</w:t>
      </w:r>
    </w:p>
    <w:p>
      <w:pPr>
        <w:pStyle w:val="Heading3"/>
      </w:pPr>
      <w:r>
        <w:rPr>
          <w:rFonts w:ascii="Times New Roman" w:hAnsi="Times New Roman"/>
        </w:rPr>
        <w:t>4. Missbrauch besonderes Vertrauensverhältnis</w:t>
      </w:r>
    </w:p>
    <w:p>
      <w:pPr>
        <w:jc w:val="left"/>
      </w:pPr>
      <w:r>
        <w:rPr>
          <w:b/>
        </w:rPr>
        <w:t>Tatsache:</w:t>
      </w:r>
      <w:r>
        <w:t xml:space="preserve"> 16 Jahre als Prokurist bei Müller &amp; Schmitt Treuhand.</w:t>
      </w:r>
    </w:p>
    <w:p>
      <w:pPr>
        <w:jc w:val="left"/>
      </w:pPr>
      <w:r>
        <w:rPr>
          <w:b/>
        </w:rPr>
        <w:t>Gewichtung:</w:t>
      </w:r>
      <w:r>
        <w:t xml:space="preserve"> Mittel–schwer (§ 46 Abs. 2: "Verhältnis zwischen Täter und Opfer").</w:t>
      </w:r>
    </w:p>
    <w:p>
      <w:pPr>
        <w:jc w:val="left"/>
      </w:pPr>
      <w:r>
        <w:rPr>
          <w:b/>
        </w:rPr>
        <w:t>Bewertung:</w:t>
      </w:r>
      <w:r>
        <w:t xml:space="preserve"> Belastend; vertieftes Vertrauen als Tatmittel.</w:t>
      </w:r>
    </w:p>
    <w:p>
      <w:pPr>
        <w:pStyle w:val="Heading3"/>
      </w:pPr>
      <w:r>
        <w:rPr>
          <w:rFonts w:ascii="Times New Roman" w:hAnsi="Times New Roman"/>
        </w:rPr>
        <w:t>5. Professionelle Position (Prokurist, Treuhandrecht)</w:t>
      </w:r>
    </w:p>
    <w:p>
      <w:pPr>
        <w:jc w:val="left"/>
      </w:pPr>
      <w:r>
        <w:rPr>
          <w:b/>
        </w:rPr>
        <w:t>Tatsache:</w:t>
      </w:r>
      <w:r>
        <w:t xml:space="preserve"> Bankert handelte in seiner beruflichen Eigenschaft als Vermögenstreuhänder.</w:t>
      </w:r>
    </w:p>
    <w:p>
      <w:pPr>
        <w:jc w:val="left"/>
      </w:pPr>
      <w:r>
        <w:rPr>
          <w:b/>
        </w:rPr>
        <w:t>Gewichtung:</w:t>
      </w:r>
      <w:r>
        <w:t xml:space="preserve"> Mittel.</w:t>
      </w:r>
    </w:p>
    <w:p>
      <w:pPr>
        <w:jc w:val="left"/>
      </w:pPr>
      <w:r>
        <w:rPr>
          <w:b/>
        </w:rPr>
        <w:t>Bewertung:</w:t>
      </w:r>
      <w:r>
        <w:t xml:space="preserve"> Belastend (hohe Pflichtwidrigkeit nach § 46 Abs. 2 StGB: "Maß der Pflichtwidrigkeit").</w:t>
      </w:r>
    </w:p>
    <w:p>
      <w:pPr>
        <w:pStyle w:val="Heading3"/>
      </w:pPr>
      <w:r>
        <w:rPr>
          <w:rFonts w:ascii="Times New Roman" w:hAnsi="Times New Roman"/>
        </w:rPr>
        <w:t>II. Mildernde Strafzumessungsgründe</w:t>
      </w:r>
    </w:p>
    <w:p>
      <w:pPr>
        <w:pStyle w:val="Heading3"/>
      </w:pPr>
      <w:r>
        <w:rPr>
          <w:rFonts w:ascii="Times New Roman" w:hAnsi="Times New Roman"/>
        </w:rPr>
        <w:t>1. Geständnis</w:t>
      </w:r>
    </w:p>
    <w:p>
      <w:pPr>
        <w:jc w:val="left"/>
      </w:pPr>
      <w:r>
        <w:rPr>
          <w:b/>
        </w:rPr>
        <w:t>Tatsache:</w:t>
      </w:r>
      <w:r>
        <w:t xml:space="preserve"> Vollständiges Geständnis vor Ermittlungsbeginn (22.10.2024).</w:t>
      </w:r>
    </w:p>
    <w:p>
      <w:pPr>
        <w:jc w:val="left"/>
      </w:pPr>
      <w:r>
        <w:rPr>
          <w:b/>
        </w:rPr>
        <w:t>Gewichtung:</w:t>
      </w:r>
      <w:r>
        <w:t xml:space="preserve"> Erheblich mildernd.</w:t>
      </w:r>
    </w:p>
    <w:p>
      <w:pPr>
        <w:jc w:val="left"/>
      </w:pPr>
      <w:r>
        <w:rPr>
          <w:b/>
        </w:rPr>
        <w:t>Bezug BGH:</w:t>
      </w:r>
      <w:r>
        <w:t xml:space="preserve"> BGHSt 45, 321 — frühes Geständnis als gewichtiger Milderungsgrund.</w:t>
      </w:r>
    </w:p>
    <w:p>
      <w:pPr>
        <w:jc w:val="left"/>
      </w:pPr>
      <w:r>
        <w:rPr>
          <w:b/>
        </w:rPr>
        <w:t>Bewertung:</w:t>
      </w:r>
      <w:r>
        <w:t xml:space="preserve"> Stark mildernd.</w:t>
      </w:r>
    </w:p>
    <w:p>
      <w:pPr>
        <w:pStyle w:val="Heading3"/>
      </w:pPr>
      <w:r>
        <w:rPr>
          <w:rFonts w:ascii="Times New Roman" w:hAnsi="Times New Roman"/>
        </w:rPr>
        <w:t>2. Schadenswiedergutmachung § 46a StGB</w:t>
      </w:r>
    </w:p>
    <w:p>
      <w:pPr>
        <w:jc w:val="left"/>
      </w:pPr>
      <w:r>
        <w:rPr>
          <w:b/>
        </w:rPr>
        <w:t>Tatsache:</w:t>
      </w:r>
      <w:r>
        <w:t xml:space="preserve"> 4,2 Mio. EUR zurückgezahlt (47 % des Schadens).</w:t>
      </w:r>
    </w:p>
    <w:p>
      <w:pPr>
        <w:jc w:val="left"/>
      </w:pPr>
      <w:r>
        <w:rPr>
          <w:b/>
        </w:rPr>
        <w:t>Gewichtung:</w:t>
      </w:r>
      <w:r>
        <w:t xml:space="preserve"> Erheblich — gesetzliche Sonderregel § 46a StGB.</w:t>
      </w:r>
    </w:p>
    <w:p>
      <w:pPr>
        <w:jc w:val="left"/>
      </w:pPr>
      <w:r>
        <w:rPr>
          <w:b/>
        </w:rPr>
        <w:t>Bezug BGH:</w:t>
      </w:r>
      <w:r>
        <w:t xml:space="preserve"> BGH NJW 2015, 84 — § 46a Nr. 1 StGB bei erheblicher Wiedergutmachung.</w:t>
      </w:r>
    </w:p>
    <w:p>
      <w:pPr>
        <w:jc w:val="left"/>
      </w:pPr>
      <w:r>
        <w:rPr>
          <w:b/>
        </w:rPr>
        <w:t>Bewertung:</w:t>
      </w:r>
      <w:r>
        <w:t xml:space="preserve"> Stark mildernd; Strafrahmenverschiebung nach § 49 Abs. 1 StGB möglich.</w:t>
      </w:r>
    </w:p>
    <w:p>
      <w:pPr>
        <w:pStyle w:val="Heading3"/>
      </w:pPr>
      <w:r>
        <w:rPr>
          <w:rFonts w:ascii="Times New Roman" w:hAnsi="Times New Roman"/>
        </w:rPr>
        <w:t>3. Vorstrafenfreiheit</w:t>
      </w:r>
    </w:p>
    <w:p>
      <w:pPr>
        <w:jc w:val="left"/>
      </w:pPr>
      <w:r>
        <w:rPr>
          <w:b/>
        </w:rPr>
        <w:t>Tatsache:</w:t>
      </w:r>
      <w:r>
        <w:t xml:space="preserve"> 54 Jahre, keine einzige Vorstrafe.</w:t>
      </w:r>
    </w:p>
    <w:p>
      <w:pPr>
        <w:jc w:val="left"/>
      </w:pPr>
      <w:r>
        <w:rPr>
          <w:b/>
        </w:rPr>
        <w:t>Gewichtung:</w:t>
      </w:r>
      <w:r>
        <w:t xml:space="preserve"> Mittel–erheblich (BGH NJW 2020, 2573).</w:t>
      </w:r>
    </w:p>
    <w:p>
      <w:pPr>
        <w:jc w:val="left"/>
      </w:pPr>
      <w:r>
        <w:rPr>
          <w:b/>
        </w:rPr>
        <w:t>Bewertung:</w:t>
      </w:r>
      <w:r>
        <w:t xml:space="preserve"> Mildernd; besonders bei Ersttätern im Wirtschaftsstrafrecht.</w:t>
      </w:r>
    </w:p>
    <w:p>
      <w:pPr>
        <w:pStyle w:val="Heading3"/>
      </w:pPr>
      <w:r>
        <w:rPr>
          <w:rFonts w:ascii="Times New Roman" w:hAnsi="Times New Roman"/>
        </w:rPr>
        <w:t>4. Kein Eigennutz-Konsum</w:t>
      </w:r>
    </w:p>
    <w:p>
      <w:pPr>
        <w:jc w:val="left"/>
      </w:pPr>
      <w:r>
        <w:rPr>
          <w:b/>
        </w:rPr>
        <w:t>Tatsache:</w:t>
      </w:r>
      <w:r>
        <w:t xml:space="preserve"> Bankert hat kein Geld für persönlichen Luxus verwendet.</w:t>
      </w:r>
    </w:p>
    <w:p>
      <w:pPr>
        <w:jc w:val="left"/>
      </w:pPr>
      <w:r>
        <w:rPr>
          <w:b/>
        </w:rPr>
        <w:t>Gewichtung:</w:t>
      </w:r>
      <w:r>
        <w:t xml:space="preserve"> Mittel — Differenzierung zur eigennützigen Bereicherung.</w:t>
      </w:r>
    </w:p>
    <w:p>
      <w:pPr>
        <w:jc w:val="left"/>
      </w:pPr>
      <w:r>
        <w:rPr>
          <w:b/>
        </w:rPr>
        <w:t>Bewertung:</w:t>
      </w:r>
      <w:r>
        <w:t xml:space="preserve"> Mildernd; weniger verwerflich als Konsumuntreue.</w:t>
      </w:r>
    </w:p>
    <w:p>
      <w:pPr>
        <w:pStyle w:val="Heading3"/>
      </w:pPr>
      <w:r>
        <w:rPr>
          <w:rFonts w:ascii="Times New Roman" w:hAnsi="Times New Roman"/>
        </w:rPr>
        <w:t>5. Persönliche Folgen</w:t>
      </w:r>
    </w:p>
    <w:p>
      <w:pPr>
        <w:jc w:val="left"/>
      </w:pPr>
      <w:r>
        <w:rPr>
          <w:b/>
        </w:rPr>
        <w:t>Tatsache:</w:t>
      </w:r>
      <w:r>
        <w:t xml:space="preserve"> Berufsverlust, Privatinsolvenz, kranke Ehefrau, Kinder im Studium.</w:t>
      </w:r>
    </w:p>
    <w:p>
      <w:pPr>
        <w:jc w:val="left"/>
      </w:pPr>
      <w:r>
        <w:rPr>
          <w:b/>
        </w:rPr>
        <w:t>Gewichtung:</w:t>
      </w:r>
      <w:r>
        <w:t xml:space="preserve"> Mittel (§ 46 Abs. 2 StGB: "persönliche Verhältnisse").</w:t>
      </w:r>
    </w:p>
    <w:p>
      <w:pPr>
        <w:jc w:val="left"/>
      </w:pPr>
      <w:r>
        <w:rPr>
          <w:b/>
        </w:rPr>
        <w:t>Bewertung:</w:t>
      </w:r>
      <w:r>
        <w:t xml:space="preserve"> Mildernd.</w:t>
      </w:r>
    </w:p>
    <w:p>
      <w:pPr>
        <w:pStyle w:val="Heading3"/>
      </w:pPr>
      <w:r>
        <w:rPr>
          <w:rFonts w:ascii="Times New Roman" w:hAnsi="Times New Roman"/>
        </w:rPr>
        <w:t>6. Positive Zukunftsprognose (§ 56 Abs. 1 StGB)</w:t>
      </w:r>
    </w:p>
    <w:p>
      <w:pPr>
        <w:jc w:val="left"/>
      </w:pPr>
      <w:r>
        <w:rPr>
          <w:b/>
        </w:rPr>
        <w:t>Tatsache:</w:t>
      </w:r>
      <w:r>
        <w:t xml:space="preserve"> Ersttäter, Geständnis, Kooperationsbereitschaft, stabiles soziales Umfeld trotz Krise.</w:t>
      </w:r>
    </w:p>
    <w:p>
      <w:pPr>
        <w:jc w:val="left"/>
      </w:pPr>
      <w:r>
        <w:rPr>
          <w:b/>
        </w:rPr>
        <w:t>Gewichtung:</w:t>
      </w:r>
      <w:r>
        <w:t xml:space="preserve"> Erheblich für § 56 StGB.</w:t>
      </w:r>
    </w:p>
    <w:p>
      <w:pPr>
        <w:jc w:val="left"/>
      </w:pPr>
      <w:r>
        <w:rPr>
          <w:b/>
        </w:rPr>
        <w:t>Bewertung:</w:t>
      </w:r>
      <w:r>
        <w:t xml:space="preserve"> Stark für Bewährungsantrag.</w:t>
      </w:r>
    </w:p>
    <w:p/>
    <w:p>
      <w:pPr>
        <w:pStyle w:val="Heading2"/>
      </w:pPr>
      <w:r>
        <w:rPr>
          <w:rFonts w:ascii="Times New Roman" w:hAnsi="Times New Roman"/>
        </w:rPr>
        <w:t>Gesamtbild der Strafzumessung</w:t>
      </w:r>
    </w:p>
    <w:tbl>
      <w:tblPr>
        <w:tblStyle w:val="TableGrid"/>
        <w:tblW w:type="auto" w:w="0"/>
        <w:tblLook w:firstColumn="1" w:firstRow="1" w:lastColumn="0" w:lastRow="0" w:noHBand="0" w:noVBand="1" w:val="04A0"/>
      </w:tblPr>
      <w:tblGrid>
        <w:gridCol w:w="3024"/>
        <w:gridCol w:w="3024"/>
        <w:gridCol w:w="3024"/>
      </w:tblGrid>
      <w:tr>
        <w:tc>
          <w:tcPr>
            <w:tcW w:type="dxa" w:w="3024"/>
          </w:tcPr>
          <w:p>
            <w:r>
              <w:rPr>
                <w:rFonts w:ascii="Times New Roman" w:hAnsi="Times New Roman"/>
                <w:b/>
                <w:sz w:val="20"/>
              </w:rPr>
              <w:t>Gesichtspunkt</w:t>
            </w:r>
          </w:p>
        </w:tc>
        <w:tc>
          <w:tcPr>
            <w:tcW w:type="dxa" w:w="3024"/>
          </w:tcPr>
          <w:p>
            <w:r>
              <w:rPr>
                <w:rFonts w:ascii="Times New Roman" w:hAnsi="Times New Roman"/>
                <w:b/>
                <w:sz w:val="20"/>
              </w:rPr>
              <w:t>Kategorie</w:t>
            </w:r>
          </w:p>
        </w:tc>
        <w:tc>
          <w:tcPr>
            <w:tcW w:type="dxa" w:w="3024"/>
          </w:tcPr>
          <w:p>
            <w:r>
              <w:rPr>
                <w:rFonts w:ascii="Times New Roman" w:hAnsi="Times New Roman"/>
                <w:b/>
                <w:sz w:val="20"/>
              </w:rPr>
              <w:t>Gewichtung</w:t>
            </w:r>
          </w:p>
        </w:tc>
      </w:tr>
      <w:tr>
        <w:tc>
          <w:tcPr>
            <w:tcW w:type="dxa" w:w="3024"/>
          </w:tcPr>
          <w:p>
            <w:r>
              <w:rPr>
                <w:rFonts w:ascii="Times New Roman" w:hAnsi="Times New Roman"/>
                <w:sz w:val="20"/>
              </w:rPr>
              <w:t>Schaden 9 Mio. EUR</w:t>
            </w:r>
          </w:p>
        </w:tc>
        <w:tc>
          <w:tcPr>
            <w:tcW w:type="dxa" w:w="3024"/>
          </w:tcPr>
          <w:p>
            <w:r>
              <w:rPr>
                <w:rFonts w:ascii="Times New Roman" w:hAnsi="Times New Roman"/>
                <w:sz w:val="20"/>
              </w:rPr>
              <w:t>Belastend</w:t>
            </w:r>
          </w:p>
        </w:tc>
        <w:tc>
          <w:tcPr>
            <w:tcW w:type="dxa" w:w="3024"/>
          </w:tcPr>
          <w:p>
            <w:r>
              <w:rPr>
                <w:rFonts w:ascii="Times New Roman" w:hAnsi="Times New Roman"/>
                <w:sz w:val="20"/>
              </w:rPr>
              <w:t>+++</w:t>
            </w:r>
          </w:p>
        </w:tc>
      </w:tr>
      <w:tr>
        <w:tc>
          <w:tcPr>
            <w:tcW w:type="dxa" w:w="3024"/>
          </w:tcPr>
          <w:p>
            <w:r>
              <w:rPr>
                <w:rFonts w:ascii="Times New Roman" w:hAnsi="Times New Roman"/>
                <w:sz w:val="20"/>
              </w:rPr>
              <w:t>Tatdauer 4 Jahre</w:t>
            </w:r>
          </w:p>
        </w:tc>
        <w:tc>
          <w:tcPr>
            <w:tcW w:type="dxa" w:w="3024"/>
          </w:tcPr>
          <w:p>
            <w:r>
              <w:rPr>
                <w:rFonts w:ascii="Times New Roman" w:hAnsi="Times New Roman"/>
                <w:sz w:val="20"/>
              </w:rPr>
              <w:t>Belastend</w:t>
            </w:r>
          </w:p>
        </w:tc>
        <w:tc>
          <w:tcPr>
            <w:tcW w:type="dxa" w:w="3024"/>
          </w:tcPr>
          <w:p>
            <w:r>
              <w:rPr>
                <w:rFonts w:ascii="Times New Roman" w:hAnsi="Times New Roman"/>
                <w:sz w:val="20"/>
              </w:rPr>
              <w:t>++</w:t>
            </w:r>
          </w:p>
        </w:tc>
      </w:tr>
      <w:tr>
        <w:tc>
          <w:tcPr>
            <w:tcW w:type="dxa" w:w="3024"/>
          </w:tcPr>
          <w:p>
            <w:r>
              <w:rPr>
                <w:rFonts w:ascii="Times New Roman" w:hAnsi="Times New Roman"/>
                <w:sz w:val="20"/>
              </w:rPr>
              <w:t>Verdeckungshandlungen</w:t>
            </w:r>
          </w:p>
        </w:tc>
        <w:tc>
          <w:tcPr>
            <w:tcW w:type="dxa" w:w="3024"/>
          </w:tcPr>
          <w:p>
            <w:r>
              <w:rPr>
                <w:rFonts w:ascii="Times New Roman" w:hAnsi="Times New Roman"/>
                <w:sz w:val="20"/>
              </w:rPr>
              <w:t>Belastend</w:t>
            </w:r>
          </w:p>
        </w:tc>
        <w:tc>
          <w:tcPr>
            <w:tcW w:type="dxa" w:w="3024"/>
          </w:tcPr>
          <w:p>
            <w:r>
              <w:rPr>
                <w:rFonts w:ascii="Times New Roman" w:hAnsi="Times New Roman"/>
                <w:sz w:val="20"/>
              </w:rPr>
              <w:t>+</w:t>
            </w:r>
          </w:p>
        </w:tc>
      </w:tr>
      <w:tr>
        <w:tc>
          <w:tcPr>
            <w:tcW w:type="dxa" w:w="3024"/>
          </w:tcPr>
          <w:p>
            <w:r>
              <w:rPr>
                <w:rFonts w:ascii="Times New Roman" w:hAnsi="Times New Roman"/>
                <w:sz w:val="20"/>
              </w:rPr>
              <w:t>Vertrauensmissbrauch</w:t>
            </w:r>
          </w:p>
        </w:tc>
        <w:tc>
          <w:tcPr>
            <w:tcW w:type="dxa" w:w="3024"/>
          </w:tcPr>
          <w:p>
            <w:r>
              <w:rPr>
                <w:rFonts w:ascii="Times New Roman" w:hAnsi="Times New Roman"/>
                <w:sz w:val="20"/>
              </w:rPr>
              <w:t>Belastend</w:t>
            </w:r>
          </w:p>
        </w:tc>
        <w:tc>
          <w:tcPr>
            <w:tcW w:type="dxa" w:w="3024"/>
          </w:tcPr>
          <w:p>
            <w:r>
              <w:rPr>
                <w:rFonts w:ascii="Times New Roman" w:hAnsi="Times New Roman"/>
                <w:sz w:val="20"/>
              </w:rPr>
              <w:t>++</w:t>
            </w:r>
          </w:p>
        </w:tc>
      </w:tr>
      <w:tr>
        <w:tc>
          <w:tcPr>
            <w:tcW w:type="dxa" w:w="3024"/>
          </w:tcPr>
          <w:p>
            <w:r>
              <w:rPr>
                <w:rFonts w:ascii="Times New Roman" w:hAnsi="Times New Roman"/>
                <w:sz w:val="20"/>
              </w:rPr>
              <w:t>Geständnis</w:t>
            </w:r>
          </w:p>
        </w:tc>
        <w:tc>
          <w:tcPr>
            <w:tcW w:type="dxa" w:w="3024"/>
          </w:tcPr>
          <w:p>
            <w:r>
              <w:rPr>
                <w:rFonts w:ascii="Times New Roman" w:hAnsi="Times New Roman"/>
                <w:sz w:val="20"/>
              </w:rPr>
              <w:t>Mildernd</w:t>
            </w:r>
          </w:p>
        </w:tc>
        <w:tc>
          <w:tcPr>
            <w:tcW w:type="dxa" w:w="3024"/>
          </w:tcPr>
          <w:p>
            <w:r>
              <w:rPr>
                <w:rFonts w:ascii="Times New Roman" w:hAnsi="Times New Roman"/>
                <w:sz w:val="20"/>
              </w:rPr>
              <w:t>+++</w:t>
            </w:r>
          </w:p>
        </w:tc>
      </w:tr>
      <w:tr>
        <w:tc>
          <w:tcPr>
            <w:tcW w:type="dxa" w:w="3024"/>
          </w:tcPr>
          <w:p>
            <w:r>
              <w:rPr>
                <w:rFonts w:ascii="Times New Roman" w:hAnsi="Times New Roman"/>
                <w:sz w:val="20"/>
              </w:rPr>
              <w:t>Wiedergutmachung § 46a</w:t>
            </w:r>
          </w:p>
        </w:tc>
        <w:tc>
          <w:tcPr>
            <w:tcW w:type="dxa" w:w="3024"/>
          </w:tcPr>
          <w:p>
            <w:r>
              <w:rPr>
                <w:rFonts w:ascii="Times New Roman" w:hAnsi="Times New Roman"/>
                <w:sz w:val="20"/>
              </w:rPr>
              <w:t>Mildernd</w:t>
            </w:r>
          </w:p>
        </w:tc>
        <w:tc>
          <w:tcPr>
            <w:tcW w:type="dxa" w:w="3024"/>
          </w:tcPr>
          <w:p>
            <w:r>
              <w:rPr>
                <w:rFonts w:ascii="Times New Roman" w:hAnsi="Times New Roman"/>
                <w:sz w:val="20"/>
              </w:rPr>
              <w:t>+++</w:t>
            </w:r>
          </w:p>
        </w:tc>
      </w:tr>
      <w:tr>
        <w:tc>
          <w:tcPr>
            <w:tcW w:type="dxa" w:w="3024"/>
          </w:tcPr>
          <w:p>
            <w:r>
              <w:rPr>
                <w:rFonts w:ascii="Times New Roman" w:hAnsi="Times New Roman"/>
                <w:sz w:val="20"/>
              </w:rPr>
              <w:t>Vorstrafenfreiheit</w:t>
            </w:r>
          </w:p>
        </w:tc>
        <w:tc>
          <w:tcPr>
            <w:tcW w:type="dxa" w:w="3024"/>
          </w:tcPr>
          <w:p>
            <w:r>
              <w:rPr>
                <w:rFonts w:ascii="Times New Roman" w:hAnsi="Times New Roman"/>
                <w:sz w:val="20"/>
              </w:rPr>
              <w:t>Mildernd</w:t>
            </w:r>
          </w:p>
        </w:tc>
        <w:tc>
          <w:tcPr>
            <w:tcW w:type="dxa" w:w="3024"/>
          </w:tcPr>
          <w:p>
            <w:r>
              <w:rPr>
                <w:rFonts w:ascii="Times New Roman" w:hAnsi="Times New Roman"/>
                <w:sz w:val="20"/>
              </w:rPr>
              <w:t>++</w:t>
            </w:r>
          </w:p>
        </w:tc>
      </w:tr>
      <w:tr>
        <w:tc>
          <w:tcPr>
            <w:tcW w:type="dxa" w:w="3024"/>
          </w:tcPr>
          <w:p>
            <w:r>
              <w:rPr>
                <w:rFonts w:ascii="Times New Roman" w:hAnsi="Times New Roman"/>
                <w:sz w:val="20"/>
              </w:rPr>
              <w:t>Kein Eigennutz-Konsum</w:t>
            </w:r>
          </w:p>
        </w:tc>
        <w:tc>
          <w:tcPr>
            <w:tcW w:type="dxa" w:w="3024"/>
          </w:tcPr>
          <w:p>
            <w:r>
              <w:rPr>
                <w:rFonts w:ascii="Times New Roman" w:hAnsi="Times New Roman"/>
                <w:sz w:val="20"/>
              </w:rPr>
              <w:t>Mildernd</w:t>
            </w:r>
          </w:p>
        </w:tc>
        <w:tc>
          <w:tcPr>
            <w:tcW w:type="dxa" w:w="3024"/>
          </w:tcPr>
          <w:p>
            <w:r>
              <w:rPr>
                <w:rFonts w:ascii="Times New Roman" w:hAnsi="Times New Roman"/>
                <w:sz w:val="20"/>
              </w:rPr>
              <w:t>+</w:t>
            </w:r>
          </w:p>
        </w:tc>
      </w:tr>
      <w:tr>
        <w:tc>
          <w:tcPr>
            <w:tcW w:type="dxa" w:w="3024"/>
          </w:tcPr>
          <w:p>
            <w:r>
              <w:rPr>
                <w:rFonts w:ascii="Times New Roman" w:hAnsi="Times New Roman"/>
                <w:sz w:val="20"/>
              </w:rPr>
              <w:t>Persönliche Folgen</w:t>
            </w:r>
          </w:p>
        </w:tc>
        <w:tc>
          <w:tcPr>
            <w:tcW w:type="dxa" w:w="3024"/>
          </w:tcPr>
          <w:p>
            <w:r>
              <w:rPr>
                <w:rFonts w:ascii="Times New Roman" w:hAnsi="Times New Roman"/>
                <w:sz w:val="20"/>
              </w:rPr>
              <w:t>Mildernd</w:t>
            </w:r>
          </w:p>
        </w:tc>
        <w:tc>
          <w:tcPr>
            <w:tcW w:type="dxa" w:w="3024"/>
          </w:tcPr>
          <w:p>
            <w:r>
              <w:rPr>
                <w:rFonts w:ascii="Times New Roman" w:hAnsi="Times New Roman"/>
                <w:sz w:val="20"/>
              </w:rPr>
              <w:t>+</w:t>
            </w:r>
          </w:p>
        </w:tc>
      </w:tr>
    </w:tbl>
    <w:p>
      <w:pPr>
        <w:jc w:val="left"/>
      </w:pPr>
      <w:r>
        <w:rPr>
          <w:b/>
        </w:rPr>
        <w:t>Ergebnis der Gesamtabwägung:</w:t>
      </w:r>
      <w:r>
        <w:t xml:space="preserve"> Der Schuldgehalt rechtfertigt eine Freiheitsstrafe im Bereich von 2 bis 4 Jahren. Die erhebliche Wiedergutmachung und das frühzeitige Geständnis rechtfertigen die Untergrenze dieses Bereichs; der hohe Schaden die Obergrenze. Die Spielraum-Theorie eröffnet Raum für 2 J 6 M bis 3 J 6 M.</w:t>
      </w:r>
    </w:p>
    <w:p>
      <w:pPr>
        <w:jc w:val="left"/>
      </w:pPr>
      <w:r>
        <w:rPr>
          <w:b/>
        </w:rPr>
        <w:t>Quelle § 46 StGB:</w:t>
      </w:r>
      <w:r>
        <w:t xml:space="preserve"> https://dejure.org/gesetze/StGB/46.html</w:t>
      </w:r>
    </w:p>
    <w:p>
      <w:pPr>
        <w:jc w:val="left"/>
      </w:pPr>
      <w:r>
        <w:rPr>
          <w:b/>
        </w:rPr>
        <w:t>Quelle § 46a StGB:</w:t>
      </w:r>
      <w:r>
        <w:t xml:space="preserve"> https://dejure.org/gesetze/StGB/46a.html</w:t>
      </w:r>
    </w:p>
    <w:sectPr w:rsidR="00FC693F" w:rsidRPr="0006063C" w:rsidSect="00034616">
      <w:headerReference w:type="default" r:id="rId9"/>
      <w:footerReference w:type="default" r:id="rId10"/>
      <w:pgSz w:w="11906" w:h="16838"/>
      <w:pgMar w:top="1417" w:right="1417" w:bottom="1417" w:left="1417" w:header="680"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071" w:val="right"/>
      </w:tabs>
      <w:jc w:val="left"/>
    </w:pPr>
    <w:r>
      <w:rPr>
        <w:rFonts w:ascii="Times New Roman" w:hAnsi="Times New Roman"/>
        <w:color w:val="6B6B66"/>
        <w:sz w:val="16"/>
      </w:rPr>
    </w:r>
    <w:r>
      <w:rPr>
        <w:rFonts w:ascii="Times New Roman" w:hAnsi="Times New Roman"/>
        <w:color w:val="6B6B66"/>
        <w:sz w:val="16"/>
      </w:rPr>
      <w:t>§ 46 Abs. 2 StGB: Bei der Zumessung wägt das Gericht die Umstände</w:t>
    </w:r>
    <w:r>
      <w:rPr>
        <w:rFonts w:ascii="Times New Roman" w:hAnsi="Times New Roman"/>
        <w:color w:val="6B6B66"/>
        <w:sz w:val="16"/>
      </w:rPr>
      <w:tab/>
      <w:t xml:space="preserve">Seite </w:t>
    </w:r>
    <w:r>
      <w:rPr>
        <w:rFonts w:ascii="Times New Roman" w:hAnsi="Times New Roman"/>
        <w:color w:val="6B6B66"/>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color w:val="3B3F45"/>
        <w:sz w:val="24"/>
      </w:rPr>
      <w:t>§ 46 Abs. 2 StGB: Bei der Zumessung wägt das Gericht die Umstände</w:t>
    </w:r>
  </w:p>
  <w:p>
    <w:pPr>
      <w:jc w:val="left"/>
      <w:pBdr>
        <w:bottom w:val="single" w:sz="6" w:space="2" w:color="3B3F45"/>
      </w:pBdr>
    </w:pPr>
    <w:r>
      <w:rPr>
        <w:rFonts w:ascii="Times New Roman" w:hAnsi="Times New Roman"/>
        <w:color w:val="6B6B66"/>
        <w:sz w:val="16"/>
      </w:rPr>
      <w:t>die für und gegen den Täter sprechen, gegeneinander ab. Dabei kommen namentlich in Betracht: · Aktenzeichen: LG Frankfurt 5-22 KLs 188/26 | WS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