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21 — Protokoll Review-Workshop 14. Januar 2026</w:t>
      </w:r>
    </w:p>
    <w:p>
      <w:pPr>
        <w:jc w:val="left"/>
      </w:pPr>
      <w:r>
        <w:rPr>
          <w:b/>
        </w:rPr>
        <w:t>Aktenzeichen:</w:t>
      </w:r>
      <w:r>
        <w:t xml:space="preserve"> TR-QK-2026-PFX-0712</w:t>
      </w:r>
    </w:p>
    <w:p>
      <w:pPr>
        <w:jc w:val="left"/>
      </w:pPr>
      <w:r>
        <w:rPr>
          <w:b/>
        </w:rPr>
        <w:t>Termin:</w:t>
      </w:r>
      <w:r>
        <w:t xml:space="preserve"> 14. Januar 2026, 10:00–16:30 Uhr</w:t>
      </w:r>
    </w:p>
    <w:p>
      <w:pPr>
        <w:jc w:val="left"/>
      </w:pPr>
      <w:r>
        <w:rPr>
          <w:b/>
        </w:rPr>
        <w:t>Ort:</w:t>
      </w:r>
      <w:r>
        <w:t xml:space="preserve"> Paragrafix GmbH, Friedrichstr. 188, 10117 Berlin, Besprechungsraum "Paralex 2"</w:t>
      </w:r>
    </w:p>
    <w:p/>
    <w:p>
      <w:pPr>
        <w:pStyle w:val="Heading2"/>
      </w:pPr>
      <w:r>
        <w:rPr>
          <w:rFonts w:ascii="Times New Roman" w:hAnsi="Times New Roman"/>
        </w:rPr>
        <w:t>Teilnehmer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Name</w:t>
            </w:r>
          </w:p>
        </w:tc>
        <w:tc>
          <w:tcPr>
            <w:tcW w:type="dxa" w:w="3024"/>
          </w:tcPr>
          <w:p>
            <w:r>
              <w:rPr>
                <w:rFonts w:ascii="Times New Roman" w:hAnsi="Times New Roman"/>
                <w:b/>
                <w:sz w:val="20"/>
              </w:rPr>
              <w:t>Funktion</w:t>
            </w:r>
          </w:p>
        </w:tc>
        <w:tc>
          <w:tcPr>
            <w:tcW w:type="dxa" w:w="3024"/>
          </w:tcPr>
          <w:p>
            <w:r>
              <w:rPr>
                <w:rFonts w:ascii="Times New Roman" w:hAnsi="Times New Roman"/>
                <w:b/>
                <w:sz w:val="20"/>
              </w:rPr>
              <w:t>Organisation</w:t>
            </w:r>
          </w:p>
        </w:tc>
      </w:tr>
      <w:tr>
        <w:tc>
          <w:tcPr>
            <w:tcW w:type="dxa" w:w="3024"/>
          </w:tcPr>
          <w:p>
            <w:r>
              <w:rPr>
                <w:rFonts w:ascii="Times New Roman" w:hAnsi="Times New Roman"/>
                <w:sz w:val="20"/>
              </w:rPr>
              <w:t>Dr. Cornelius Vellbruck-Steinheim</w:t>
            </w:r>
          </w:p>
        </w:tc>
        <w:tc>
          <w:tcPr>
            <w:tcW w:type="dxa" w:w="3024"/>
          </w:tcPr>
          <w:p>
            <w:r>
              <w:rPr>
                <w:rFonts w:ascii="Times New Roman" w:hAnsi="Times New Roman"/>
                <w:sz w:val="20"/>
              </w:rPr>
              <w:t>Geschäftsführer</w:t>
            </w:r>
          </w:p>
        </w:tc>
        <w:tc>
          <w:tcPr>
            <w:tcW w:type="dxa" w:w="3024"/>
          </w:tcPr>
          <w:p>
            <w:r>
              <w:rPr>
                <w:rFonts w:ascii="Times New Roman" w:hAnsi="Times New Roman"/>
                <w:sz w:val="20"/>
              </w:rPr>
              <w:t>Paragrafix GmbH</w:t>
            </w:r>
          </w:p>
        </w:tc>
      </w:tr>
      <w:tr>
        <w:tc>
          <w:tcPr>
            <w:tcW w:type="dxa" w:w="3024"/>
          </w:tcPr>
          <w:p>
            <w:r>
              <w:rPr>
                <w:rFonts w:ascii="Times New Roman" w:hAnsi="Times New Roman"/>
                <w:sz w:val="20"/>
              </w:rPr>
              <w:t>Annegret Pellbach-Roosendaal</w:t>
            </w:r>
          </w:p>
        </w:tc>
        <w:tc>
          <w:tcPr>
            <w:tcW w:type="dxa" w:w="3024"/>
          </w:tcPr>
          <w:p>
            <w:r>
              <w:rPr>
                <w:rFonts w:ascii="Times New Roman" w:hAnsi="Times New Roman"/>
                <w:sz w:val="20"/>
              </w:rPr>
              <w:t>CFO</w:t>
            </w:r>
          </w:p>
        </w:tc>
        <w:tc>
          <w:tcPr>
            <w:tcW w:type="dxa" w:w="3024"/>
          </w:tcPr>
          <w:p>
            <w:r>
              <w:rPr>
                <w:rFonts w:ascii="Times New Roman" w:hAnsi="Times New Roman"/>
                <w:sz w:val="20"/>
              </w:rPr>
              <w:t>Paragrafix GmbH</w:t>
            </w:r>
          </w:p>
        </w:tc>
      </w:tr>
      <w:tr>
        <w:tc>
          <w:tcPr>
            <w:tcW w:type="dxa" w:w="3024"/>
          </w:tcPr>
          <w:p>
            <w:r>
              <w:rPr>
                <w:rFonts w:ascii="Times New Roman" w:hAnsi="Times New Roman"/>
                <w:sz w:val="20"/>
              </w:rPr>
              <w:t>Tobias Kerschbaum</w:t>
            </w:r>
          </w:p>
        </w:tc>
        <w:tc>
          <w:tcPr>
            <w:tcW w:type="dxa" w:w="3024"/>
          </w:tcPr>
          <w:p>
            <w:r>
              <w:rPr>
                <w:rFonts w:ascii="Times New Roman" w:hAnsi="Times New Roman"/>
                <w:sz w:val="20"/>
              </w:rPr>
              <w:t>Leiter Controlling</w:t>
            </w:r>
          </w:p>
        </w:tc>
        <w:tc>
          <w:tcPr>
            <w:tcW w:type="dxa" w:w="3024"/>
          </w:tcPr>
          <w:p>
            <w:r>
              <w:rPr>
                <w:rFonts w:ascii="Times New Roman" w:hAnsi="Times New Roman"/>
                <w:sz w:val="20"/>
              </w:rPr>
              <w:t>Paragrafix GmbH</w:t>
            </w:r>
          </w:p>
        </w:tc>
      </w:tr>
      <w:tr>
        <w:tc>
          <w:tcPr>
            <w:tcW w:type="dxa" w:w="3024"/>
          </w:tcPr>
          <w:p>
            <w:r>
              <w:rPr>
                <w:rFonts w:ascii="Times New Roman" w:hAnsi="Times New Roman"/>
                <w:sz w:val="20"/>
              </w:rPr>
              <w:t>Dr. Henrike Wittfeldt-Steinheim</w:t>
            </w:r>
          </w:p>
        </w:tc>
        <w:tc>
          <w:tcPr>
            <w:tcW w:type="dxa" w:w="3024"/>
          </w:tcPr>
          <w:p>
            <w:r>
              <w:rPr>
                <w:rFonts w:ascii="Times New Roman" w:hAnsi="Times New Roman"/>
                <w:sz w:val="20"/>
              </w:rPr>
              <w:t>Reviewer, WPin/RAin</w:t>
            </w:r>
          </w:p>
        </w:tc>
        <w:tc>
          <w:tcPr>
            <w:tcW w:type="dxa" w:w="3024"/>
          </w:tcPr>
          <w:p>
            <w:r>
              <w:rPr>
                <w:rFonts w:ascii="Times New Roman" w:hAnsi="Times New Roman"/>
                <w:sz w:val="20"/>
              </w:rPr>
              <w:t>TabellenReview Wittfeldt Federkamp PartG</w:t>
            </w:r>
          </w:p>
        </w:tc>
      </w:tr>
      <w:tr>
        <w:tc>
          <w:tcPr>
            <w:tcW w:type="dxa" w:w="3024"/>
          </w:tcPr>
          <w:p>
            <w:r>
              <w:rPr>
                <w:rFonts w:ascii="Times New Roman" w:hAnsi="Times New Roman"/>
                <w:sz w:val="20"/>
              </w:rPr>
              <w:t>Karsten Federkamp</w:t>
            </w:r>
          </w:p>
        </w:tc>
        <w:tc>
          <w:tcPr>
            <w:tcW w:type="dxa" w:w="3024"/>
          </w:tcPr>
          <w:p>
            <w:r>
              <w:rPr>
                <w:rFonts w:ascii="Times New Roman" w:hAnsi="Times New Roman"/>
                <w:sz w:val="20"/>
              </w:rPr>
              <w:t>Reviewer, Wirtschaftsmathematiker</w:t>
            </w:r>
          </w:p>
        </w:tc>
        <w:tc>
          <w:tcPr>
            <w:tcW w:type="dxa" w:w="3024"/>
          </w:tcPr>
          <w:p>
            <w:r>
              <w:rPr>
                <w:rFonts w:ascii="Times New Roman" w:hAnsi="Times New Roman"/>
                <w:sz w:val="20"/>
              </w:rPr>
              <w:t>TabellenReview Wittfeldt Federkamp PartG</w:t>
            </w:r>
          </w:p>
        </w:tc>
      </w:tr>
      <w:tr>
        <w:tc>
          <w:tcPr>
            <w:tcW w:type="dxa" w:w="3024"/>
          </w:tcPr>
          <w:p>
            <w:r>
              <w:rPr>
                <w:rFonts w:ascii="Times New Roman" w:hAnsi="Times New Roman"/>
                <w:sz w:val="20"/>
              </w:rPr>
              <w:t>Dr. Sebastian Birkholz</w:t>
            </w:r>
          </w:p>
        </w:tc>
        <w:tc>
          <w:tcPr>
            <w:tcW w:type="dxa" w:w="3024"/>
          </w:tcPr>
          <w:p>
            <w:r>
              <w:rPr>
                <w:rFonts w:ascii="Times New Roman" w:hAnsi="Times New Roman"/>
                <w:sz w:val="20"/>
              </w:rPr>
              <w:t>Partner, Jahresabschlussprüfer</w:t>
            </w:r>
          </w:p>
        </w:tc>
        <w:tc>
          <w:tcPr>
            <w:tcW w:type="dxa" w:w="3024"/>
          </w:tcPr>
          <w:p>
            <w:r>
              <w:rPr>
                <w:rFonts w:ascii="Times New Roman" w:hAnsi="Times New Roman"/>
                <w:sz w:val="20"/>
              </w:rPr>
              <w:t>Birkholz &amp; Partner mbH WPG</w:t>
            </w:r>
          </w:p>
        </w:tc>
      </w:tr>
    </w:tbl>
    <w:p/>
    <w:p>
      <w:pPr>
        <w:pStyle w:val="Heading2"/>
      </w:pPr>
      <w:r>
        <w:rPr>
          <w:rFonts w:ascii="Times New Roman" w:hAnsi="Times New Roman"/>
        </w:rPr>
        <w:t>TOP 1: Eröffnung und Tagesordnung (10:00–10:20 Uhr)</w:t>
      </w:r>
    </w:p>
    <w:p>
      <w:pPr>
        <w:jc w:val="left"/>
      </w:pPr>
      <w:r>
        <w:t>Dr. Wittfeldt-Steinheim eröffnet den Workshop und erläutert den Ablauf. Alle Teilnehmer bestätigen Kenntnisnahme des Zwischenbefunds vom 13. Januar 2026.</w:t>
      </w:r>
    </w:p>
    <w:p/>
    <w:p>
      <w:pPr>
        <w:pStyle w:val="Heading2"/>
      </w:pPr>
      <w:r>
        <w:rPr>
          <w:rFonts w:ascii="Times New Roman" w:hAnsi="Times New Roman"/>
        </w:rPr>
        <w:t>TOP 2: Präsentation Findings F-01 bis F-05 (10:20–12:15 Uhr)</w:t>
      </w:r>
    </w:p>
    <w:p>
      <w:pPr>
        <w:jc w:val="left"/>
      </w:pPr>
      <w:r>
        <w:t>Karsten Federkamp präsentiert Findings 1–5 mit Bildschirmdarstellung der betroffenen Modellzellen.</w:t>
      </w:r>
    </w:p>
    <w:p>
      <w:pPr>
        <w:jc w:val="left"/>
      </w:pPr>
      <w:r>
        <w:rPr>
          <w:b/>
        </w:rPr>
        <w:t>Reaktion CFO Pellbach-Roosendaal zu Finding 1 (Zirkularbezug):</w:t>
      </w:r>
    </w:p>
    <w:p>
      <w:pPr>
        <w:jc w:val="left"/>
      </w:pPr>
      <w:r>
        <w:t>"Die Iterationsrechnung war bewusst aktiviert, das ist eine gängige Methode bei Finanzmodellen." Reviewer widerspricht: Die Iterationsabhängigkeit macht das Modell konfigurationsabhängig und verletzt IDW-S-11-Anforderungen.</w:t>
      </w:r>
    </w:p>
    <w:p>
      <w:pPr>
        <w:jc w:val="left"/>
      </w:pPr>
      <w:r>
        <w:rPr>
          <w:b/>
        </w:rPr>
        <w:t>Reaktion CFO zu Finding 4 (Zinssatz):</w:t>
      </w:r>
    </w:p>
    <w:p>
      <w:pPr>
        <w:jc w:val="left"/>
      </w:pPr>
      <w:r>
        <w:t>"Die Absenkung auf 4,9 % basiert auf einer mündlichen Indikation der Mittelstandsbank vom Dezember 2025." Keine schriftliche Bestätigung vorhanden. Dr. Birkholz (WP) hält fest: Ohne schriftliche Bestätigung ist dieser Zinssatz für Prüfungszwecke nicht verwertbar.</w:t>
      </w:r>
    </w:p>
    <w:p>
      <w:pPr>
        <w:jc w:val="left"/>
      </w:pPr>
      <w:r>
        <w:rPr>
          <w:b/>
        </w:rPr>
        <w:t>Reaktion GF Dr. Vellbruck-Steinheim zu Finding 5:</w:t>
      </w:r>
    </w:p>
    <w:p>
      <w:pPr>
        <w:jc w:val="left"/>
      </w:pPr>
      <w:r>
        <w:t>"Das war ein technisches Versehen beim Einfügen der neuen Zeile. Kein Absicht."</w:t>
      </w:r>
    </w:p>
    <w:p/>
    <w:p>
      <w:pPr>
        <w:pStyle w:val="Heading2"/>
      </w:pPr>
      <w:r>
        <w:rPr>
          <w:rFonts w:ascii="Times New Roman" w:hAnsi="Times New Roman"/>
        </w:rPr>
        <w:t>TOP 3: Präsentation Findings F-06 bis F-10 (13:15–15:00 Uhr)</w:t>
      </w:r>
    </w:p>
    <w:p>
      <w:pPr>
        <w:jc w:val="left"/>
      </w:pPr>
      <w:r>
        <w:rPr>
          <w:b/>
        </w:rPr>
        <w:t>Finding 6 (Versteckte Sheets):</w:t>
      </w:r>
    </w:p>
    <w:p>
      <w:pPr>
        <w:jc w:val="left"/>
      </w:pPr>
      <w:r>
        <w:t>CFO bestätigt Existenz der versteckten Sheets. Begründung: "_BACKUP_PARAM zur eigenen Sicherheit behalten; _RESTPOSTEN wurde vergessen." GF erklärt sich bereit, beide Sheets sofort offenzulegen.</w:t>
      </w:r>
    </w:p>
    <w:p>
      <w:pPr>
        <w:jc w:val="left"/>
      </w:pPr>
      <w:r>
        <w:rPr>
          <w:b/>
        </w:rPr>
        <w:t>Finding 9 (Makro):</w:t>
      </w:r>
    </w:p>
    <w:p>
      <w:pPr>
        <w:jc w:val="left"/>
      </w:pPr>
      <w:r>
        <w:t>Erhebliche Unruhe am Tisch. GF: "Das Makro wurde von unserem externen Excel-Berater Herrn Merbold eingebaut, um Konsistenz zu wahren. Ich war nicht informiert." Reviewer weist darauf hin, dass das Makro eine aktive Manipulation von Planwerten darstellt und unverzüglich zu löschen ist. Beschlossen: Makro wird noch am 14.01.2026 gelöscht.</w:t>
      </w:r>
    </w:p>
    <w:p>
      <w:pPr>
        <w:jc w:val="left"/>
      </w:pPr>
      <w:r>
        <w:rPr>
          <w:b/>
        </w:rPr>
        <w:t>Finding 10 (IDW S 11):</w:t>
      </w:r>
    </w:p>
    <w:p>
      <w:pPr>
        <w:jc w:val="left"/>
      </w:pPr>
      <w:r>
        <w:t>Dr. Birkholz (WP) fasst zusammen: "Bei diesen Befunden werde ich meinen vorläufigen Versagungsvermerk aufrechterhalten bis zur vollständigen Korrektur und Neuvorlage."</w:t>
      </w:r>
    </w:p>
    <w:p/>
    <w:p>
      <w:pPr>
        <w:pStyle w:val="Heading2"/>
      </w:pPr>
      <w:r>
        <w:rPr>
          <w:rFonts w:ascii="Times New Roman" w:hAnsi="Times New Roman"/>
        </w:rPr>
        <w:t>TOP 4: Fix-Roadmap und Beschlüsse (15:00–16:00 Uhr)</w:t>
      </w:r>
    </w:p>
    <w:p>
      <w:pPr>
        <w:jc w:val="left"/>
      </w:pPr>
      <w:r>
        <w:t>Fix-Roadmap gemäß Aktenstück 18 wird angenommen. Beschlüsse:</w:t>
      </w:r>
    </w:p>
    <w:p>
      <w:pPr>
        <w:pStyle w:val="ListNumber"/>
      </w:pPr>
      <w:r>
        <w:t xml:space="preserve">Makro </w:t>
      </w:r>
      <w:r>
        <w:t>UpdateSollwerte</w:t>
      </w:r>
      <w:r>
        <w:t xml:space="preserve"> wird sofort (noch 14.01.2026) gelöscht.</w:t>
      </w:r>
    </w:p>
    <w:p>
      <w:pPr>
        <w:pStyle w:val="ListNumber"/>
      </w:pPr>
      <w:r>
        <w:t>Versteckte Sheets werden sofort offengelegt.</w:t>
      </w:r>
    </w:p>
    <w:p>
      <w:pPr>
        <w:pStyle w:val="ListNumber"/>
      </w:pPr>
      <w:r>
        <w:t>Externes Modellentwicklungs-Team (Schnitzel &amp; Rau Consulting) wird bis 16.01.2026 beauftragt.</w:t>
      </w:r>
    </w:p>
    <w:p>
      <w:pPr>
        <w:pStyle w:val="ListNumber"/>
      </w:pPr>
      <w:r>
        <w:t>Neuvorlage v24 bis 26.01.2026.</w:t>
      </w:r>
    </w:p>
    <w:p>
      <w:pPr>
        <w:pStyle w:val="ListNumber"/>
      </w:pPr>
      <w:r>
        <w:t>GF beauftragt insolvenzrechtliche Beratung durch RAin Dr. Schilder-Moerth (Insolvenzrecht Berlin).</w:t>
      </w:r>
    </w:p>
    <w:p/>
    <w:p>
      <w:pPr>
        <w:pStyle w:val="Heading2"/>
      </w:pPr>
      <w:r>
        <w:rPr>
          <w:rFonts w:ascii="Times New Roman" w:hAnsi="Times New Roman"/>
        </w:rPr>
        <w:t>TOP 5: Sonstiges (16:00–16:30 Uhr)</w:t>
      </w:r>
    </w:p>
    <w:p>
      <w:pPr>
        <w:jc w:val="left"/>
      </w:pPr>
      <w:r>
        <w:t>Vertraulichkeitsvereinbarung: Alle Teilnehmer verpflichten sich zur Vertraulichkeit über die Workshopinhalte bis zur abschließenden Klärung. Nächster Termin: Telefonkonferenz 19.01.2026, 14:00 Uhr.</w:t>
      </w:r>
    </w:p>
    <w:p>
      <w:pPr>
        <w:jc w:val="left"/>
      </w:pPr>
      <w:r>
        <w:t>Protokollführerin: Karsten Federkamp</w:t>
      </w:r>
    </w:p>
    <w:p>
      <w:pPr>
        <w:jc w:val="left"/>
      </w:pPr>
      <w:r>
        <w:t>Freigabe: Dr. Henrike Wittfeldt-Steinheim (15.01.2026)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Paragrafix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Paragrafix GmbH</w:t>
    </w:r>
  </w:p>
  <w:p>
    <w:pPr>
      <w:jc w:val="left"/>
      <w:pBdr>
        <w:bottom w:val="single" w:sz="6" w:space="2" w:color="7B2D3B"/>
      </w:pBdr>
    </w:pPr>
    <w:r>
      <w:rPr>
        <w:rFonts w:ascii="Times New Roman" w:hAnsi="Times New Roman"/>
        <w:color w:val="6B6B66"/>
        <w:sz w:val="16"/>
      </w:rPr>
      <w:t>Friedrichstr. 188, 10117 Berlin, Besprechungsraum "Paralex 2" · Aktenzeichen: TR-QK-2026-PFX-0712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