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Abschlussvermerk des Reviewers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26. Januar 2026</w:t>
      </w:r>
    </w:p>
    <w:p>
      <w:pPr>
        <w:jc w:val="left"/>
      </w:pPr>
      <w:r>
        <w:rPr>
          <w:b/>
        </w:rPr>
        <w:t>Reviewer:</w:t>
      </w:r>
      <w:r>
        <w:t xml:space="preserve"> Dr. Henrike Wittfeldt-Steinheim, WPin, RAin; TabellenReview Wittfeldt Federkamp PartG</w:t>
      </w:r>
    </w:p>
    <w:p/>
    <w:p>
      <w:pPr>
        <w:pStyle w:val="Heading2"/>
      </w:pPr>
      <w:r>
        <w:rPr>
          <w:rFonts w:ascii="Times New Roman" w:hAnsi="Times New Roman"/>
        </w:rPr>
        <w:t>Gegenstand</w:t>
      </w:r>
    </w:p>
    <w:p>
      <w:pPr>
        <w:jc w:val="left"/>
      </w:pPr>
      <w:r>
        <w:t xml:space="preserve">Tabellenreview des Excel-Modells </w:t>
      </w:r>
      <w:r>
        <w:t>PFX-FoBP-Modell-v23-final.xlsx</w:t>
      </w:r>
      <w:r>
        <w:t xml:space="preserve"> (Fortbestehensprognose Paragrafix GmbH, Berlin) gemäß Auftragsvereinbarung vom 08. Januar 2026.</w:t>
      </w:r>
    </w:p>
    <w:p/>
    <w:p>
      <w:pPr>
        <w:pStyle w:val="Heading2"/>
      </w:pPr>
      <w:r>
        <w:rPr>
          <w:rFonts w:ascii="Times New Roman" w:hAnsi="Times New Roman"/>
        </w:rPr>
        <w:t>Reviewergebnis</w:t>
      </w:r>
    </w:p>
    <w:p>
      <w:pPr>
        <w:pStyle w:val="Heading3"/>
      </w:pPr>
      <w:r>
        <w:rPr>
          <w:rFonts w:ascii="Times New Roman" w:hAnsi="Times New Roman"/>
        </w:rPr>
        <w:t>Zu Modell v23</w:t>
      </w:r>
    </w:p>
    <w:p>
      <w:pPr>
        <w:jc w:val="left"/>
      </w:pPr>
      <w:r>
        <w:t xml:space="preserve">Das Modell v23 in der am 09. Januar 2026 übergebenen Fassung ist </w:t>
      </w:r>
      <w:r>
        <w:rPr>
          <w:b/>
        </w:rPr>
        <w:t>nicht geeignet</w:t>
      </w:r>
      <w:r>
        <w:t>, als Grundlage für eine IDW-S-11-konforme Fortbestehensprognose zu dienen. Es wurden 10 Findings identifiziert, davon 3 kritische, die die Belastbarkeit des Modells und die Integrität des Ergebnisses wesentlich beeinträchtigen.</w:t>
      </w:r>
    </w:p>
    <w:p>
      <w:pPr>
        <w:pStyle w:val="Heading3"/>
      </w:pPr>
      <w:r>
        <w:rPr>
          <w:rFonts w:ascii="Times New Roman" w:hAnsi="Times New Roman"/>
        </w:rPr>
        <w:t>Zu Modell v24 (Nachbesserung)</w:t>
      </w:r>
    </w:p>
    <w:p>
      <w:pPr>
        <w:jc w:val="left"/>
      </w:pPr>
      <w:r>
        <w:t>Das am 25. Januar 2026 vorgelegte korrigierte Modell v24 zeigt wesentliche Verbesserungen:</w:t>
      </w:r>
    </w:p>
    <w:p>
      <w:pPr>
        <w:pStyle w:val="ListBullet"/>
      </w:pPr>
      <w:r>
        <w:t>Zirkularität aufgelöst (F-01 behoben).</w:t>
      </w:r>
    </w:p>
    <w:p>
      <w:pPr>
        <w:pStyle w:val="ListBullet"/>
      </w:pPr>
      <w:r>
        <w:t>Bilanzsummenformel korrigiert (F-03 behoben).</w:t>
      </w:r>
    </w:p>
    <w:p>
      <w:pPr>
        <w:pStyle w:val="ListBullet"/>
      </w:pPr>
      <w:r>
        <w:t>Zinssatz auf 6,5 % angehoben und mit schriftlicher Bankindikation belegt (F-04 behoben).</w:t>
      </w:r>
    </w:p>
    <w:p>
      <w:pPr>
        <w:pStyle w:val="ListBullet"/>
      </w:pPr>
      <w:r>
        <w:t>Makro gelöscht (F-09 behoben).</w:t>
      </w:r>
    </w:p>
    <w:p>
      <w:pPr>
        <w:pStyle w:val="ListBullet"/>
      </w:pPr>
      <w:r>
        <w:t>Versteckte Sheets offengelegt und Verknüpfungen bereinigt (F-06 behoben).</w:t>
      </w:r>
    </w:p>
    <w:p>
      <w:pPr>
        <w:pStyle w:val="ListBullet"/>
      </w:pPr>
      <w:r>
        <w:t>Stressszenario eingearbeitet (F-08 behoben).</w:t>
      </w:r>
    </w:p>
    <w:p>
      <w:pPr>
        <w:pStyle w:val="ListBullet"/>
      </w:pPr>
      <w:r>
        <w:t>Quellenangaben für 9 von 11 Parametern nachgeliefert (F-07 teilweise behoben).</w:t>
      </w:r>
    </w:p>
    <w:p>
      <w:pPr>
        <w:jc w:val="left"/>
      </w:pPr>
      <w:r>
        <w:rPr>
          <w:b/>
        </w:rPr>
        <w:t>Verbleibende Einschränkungen in v24:</w:t>
      </w:r>
    </w:p>
    <w:p>
      <w:pPr>
        <w:pStyle w:val="ListBullet"/>
      </w:pPr>
      <w:r>
        <w:t>F-07: 2 Parameter (IT-Wartung, Sanierungskredit-Zinssatz) noch ohne externe Quellenbestätigung.</w:t>
      </w:r>
    </w:p>
    <w:p>
      <w:pPr>
        <w:pStyle w:val="ListBullet"/>
      </w:pPr>
      <w:r>
        <w:t>F-02: Noch 8 Hardcoded-Werte verbleibend (geringere Materialität, kein wesentlicher Einfluss).</w:t>
      </w:r>
    </w:p>
    <w:p>
      <w:pPr>
        <w:pStyle w:val="ListBullet"/>
      </w:pPr>
      <w:r>
        <w:t>Das Stressszenario in v24 weist für 2027 einen Liquiditätsüberschuss von nur +47 TEUR aus — knapp positiv.</w:t>
      </w:r>
    </w:p>
    <w:p/>
    <w:p>
      <w:pPr>
        <w:pStyle w:val="Heading2"/>
      </w:pPr>
      <w:r>
        <w:rPr>
          <w:rFonts w:ascii="Times New Roman" w:hAnsi="Times New Roman"/>
        </w:rPr>
        <w:t>Einschränkungen und Vorbehalte</w:t>
      </w:r>
    </w:p>
    <w:p>
      <w:pPr>
        <w:pStyle w:val="ListNumber"/>
      </w:pPr>
      <w:r>
        <w:t>Dieser Abschlussvermerk bezieht sich ausschließlich auf die formale Prüfung der Modellarchitektur, Konsistenz und Strukturkonformität. Er ist kein Jahresabschlussprüfung und kein Sanierungsgutachten.</w:t>
      </w:r>
    </w:p>
    <w:p>
      <w:pPr>
        <w:pStyle w:val="ListNumber"/>
      </w:pPr>
      <w:r>
        <w:t>Der Reviewer übernimmt keine Verantwortung für die inhaltliche Richtigkeit der Modellannahmen (Umsatzprognose, Kosteneinsparungen), die allein im Verantwortungsbereich der Paragrafix GmbH liegen.</w:t>
      </w:r>
    </w:p>
    <w:p>
      <w:pPr>
        <w:pStyle w:val="ListNumber"/>
      </w:pPr>
      <w:r>
        <w:t>Der Manipulationsverdacht aus Finding 4 (v23) ist durch die Korrekturen in v24 nicht abschließend ausgeräumt. Die strafrechtliche Bewertung obliegt den zuständigen Behörden.</w:t>
      </w:r>
    </w:p>
    <w:p>
      <w:pPr>
        <w:pStyle w:val="ListNumber"/>
      </w:pPr>
      <w:r>
        <w:t>Das Stressszenario in v24 zeigt eine sehr knappe Marge (+47 TEUR). Eine Verschlechterung einzelner Annahmen könnte das Gesamtergebnis kippen lassen.</w:t>
      </w:r>
    </w:p>
    <w:p/>
    <w:p>
      <w:pPr>
        <w:pStyle w:val="Heading2"/>
      </w:pPr>
      <w:r>
        <w:rPr>
          <w:rFonts w:ascii="Times New Roman" w:hAnsi="Times New Roman"/>
        </w:rPr>
        <w:t>Schlussfolgerung</w:t>
      </w:r>
    </w:p>
    <w:p>
      <w:pPr>
        <w:jc w:val="left"/>
      </w:pPr>
      <w:r>
        <w:t>Das korrigierte Modell v24 ist unter den verbleibenden Einschränkungen für eine Vorlage beim Wirtschaftsprüfer Birkholz &amp; Partner geeignet. Die endgültige Beurteilung der IDW-S-11-Konformität und die Erteilung oder Versagung des Bestätigungsvermerks obliegt dem Jahresabschlussprüfer.</w:t>
      </w:r>
    </w:p>
    <w:p>
      <w:pPr>
        <w:jc w:val="left"/>
      </w:pPr>
      <w:r>
        <w:t>Der Reviewer empfiehlt:</w:t>
      </w:r>
    </w:p>
    <w:p>
      <w:pPr>
        <w:pStyle w:val="ListBullet"/>
      </w:pPr>
      <w:r>
        <w:t>Sofortige Vorlage v24 an Birkholz &amp; Partner (26.01.2026).</w:t>
      </w:r>
    </w:p>
    <w:p>
      <w:pPr>
        <w:pStyle w:val="ListBullet"/>
      </w:pPr>
      <w:r>
        <w:t>Abschluss der offenen Quellenermittlung (F-07) bis 30.01.2026.</w:t>
      </w:r>
    </w:p>
    <w:p>
      <w:pPr>
        <w:pStyle w:val="ListBullet"/>
      </w:pPr>
      <w:r>
        <w:t>Fortlaufende monatliche Ist-Plan-Abstimmung ab Februar 2026.</w:t>
      </w:r>
    </w:p>
    <w:p>
      <w:pPr>
        <w:pStyle w:val="ListBullet"/>
      </w:pPr>
      <w:r>
        <w:t>Beauftragung IDW-S-6-Sanierungsgutachten, falls Bank Kredit an vollständiges Sanierungskonzept knüpft.</w:t>
      </w:r>
    </w:p>
    <w:p>
      <w:pPr>
        <w:jc w:val="left"/>
      </w:pPr>
      <w:r>
        <w:t>Berlin, 26. Januar 2026</w:t>
      </w:r>
    </w:p>
    <w:p>
      <w:pPr>
        <w:jc w:val="left"/>
      </w:pPr>
      <w:r>
        <w:rPr>
          <w:b/>
        </w:rPr>
        <w:t>Dr. Henrike Wittfeldt-Steinheim</w:t>
      </w:r>
    </w:p>
    <w:p>
      <w:pPr>
        <w:jc w:val="left"/>
      </w:pPr>
      <w:r>
        <w:t>Wirtschaftsprüferin, Rechtsanwältin</w:t>
      </w:r>
    </w:p>
    <w:p>
      <w:pPr>
        <w:jc w:val="left"/>
      </w:pPr>
      <w:r>
        <w:t>TabellenReview Wittfeldt Federkamp PartG</w:t>
      </w:r>
    </w:p>
    <w:p>
      <w:pPr>
        <w:jc w:val="left"/>
      </w:pPr>
      <w:r>
        <w:rPr>
          <w:b/>
        </w:rPr>
        <w:t>Quellen:</w:t>
      </w:r>
      <w:r>
        <w:t xml:space="preserve"> IDW S 11, https://www.idw.de; IDW S 6 (Sanierungskonzepte), https://www.idw.de; HGB §§ 252, 264: https://dejure.org/gesetze/HGB/252.html und https://dejure.org/gesetze/HGB/264.html; InsO §§ 15a, 17, 19: https://dejure.org/gesetze/InsO/15a.html.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TabellenReview Wittfeldt Federkamp PartG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TABELLENREVIEW WITTFELDT FEDERKAMP PARTG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WPin, RAin; TabellenReview Wittfeldt Federkamp PartG · Aktenzeichen: TR-QK-2026-PFX-0712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