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Artenschutzrechtliche Vorprüfung — Erweiterung Linie 4, Werk Nord</w:t>
      </w:r>
    </w:p>
    <w:p>
      <w:pPr>
        <w:ind w:left="567"/>
      </w:pPr>
      <w:r>
        <w:rPr>
          <w:b/>
          <w:i/>
        </w:rPr>
        <w:t>Artenschutzrechtliche Vorprüfung (Stufe I)</w:t>
      </w:r>
    </w:p>
    <w:p>
      <w:pPr>
        <w:ind w:left="567"/>
      </w:pPr>
      <w:r>
        <w:rPr>
          <w:i/>
        </w:rPr>
        <w:t>gemäß §§ 44, 45 BNatSchG i. V. m. § 41 LNatSchG NRW</w:t>
      </w:r>
    </w:p>
    <w:p>
      <w:pPr>
        <w:ind w:left="567"/>
      </w:pPr>
    </w:p>
    <w:p>
      <w:pPr>
        <w:ind w:left="567"/>
      </w:pPr>
      <w:r>
        <w:rPr>
          <w:i/>
        </w:rPr>
        <w:t>Auftraggeber: Rheinland Spezialchemie GmbH, Industriestraße 47, 50389 Wesseling</w:t>
      </w:r>
    </w:p>
    <w:p>
      <w:pPr>
        <w:ind w:left="567"/>
      </w:pPr>
      <w:r>
        <w:rPr>
          <w:i/>
        </w:rPr>
        <w:t>Auftragnehmer: Büro für Landschaftsökologie und Naturschutz (BÖLÖN), Bonner Straße 88, 50389 Wesseling</w:t>
      </w:r>
    </w:p>
    <w:p>
      <w:pPr>
        <w:ind w:left="567"/>
      </w:pPr>
      <w:r>
        <w:rPr>
          <w:i/>
        </w:rPr>
        <w:t>Bearbeitung: Dipl.-Biol. Kerstin Hauboldt, M. Sc. Tim Brockmann</w:t>
      </w:r>
    </w:p>
    <w:p>
      <w:pPr>
        <w:ind w:left="567"/>
      </w:pPr>
      <w:r>
        <w:rPr>
          <w:i/>
        </w:rPr>
        <w:t>Datum: 22. März 2026</w:t>
      </w:r>
    </w:p>
    <w:p>
      <w:pPr>
        <w:ind w:left="567"/>
      </w:pPr>
      <w:r>
        <w:rPr>
          <w:i/>
        </w:rPr>
        <w:t>Aktenzeichen Büro: BÖLÖN-2026-041-RSGmbH</w:t>
      </w:r>
    </w:p>
    <w:p/>
    <w:p>
      <w:pPr>
        <w:pStyle w:val="Heading2"/>
      </w:pPr>
      <w:r>
        <w:rPr>
          <w:rFonts w:ascii="Times New Roman" w:hAnsi="Times New Roman"/>
        </w:rPr>
        <w:t>1. Anlass und Aufgabenstellung</w:t>
      </w:r>
    </w:p>
    <w:p>
      <w:pPr>
        <w:jc w:val="left"/>
      </w:pPr>
      <w:r>
        <w:t>Die Rheinland Spezialchemie GmbH (RS GmbH) plant die Erweiterung ihrer Produktionslinie 4 (Werk Nord, Industriestraße 47, 50389 Wesseling) durch Errichtung einer Inline-Trocknungsstufe. Im Zuge der Baugenehmigung und des immissionsschutzrechtlichen Verfahrens ist eine Prüfung der artenschutzrechtlichen Belange gemäß §§ 44, 45 BNatSchG erforderlich.</w:t>
      </w:r>
    </w:p>
    <w:p>
      <w:pPr>
        <w:jc w:val="left"/>
      </w:pPr>
      <w:r>
        <w:t>Gegenstand dieser Vorprüfung (Stufe I) ist die Frage, ob artenschutzrechtliche Verbotstatbestände nach § 44 Abs. 1 BNatSchG (Tötungs-, Störungs- und Zerstörungsverbot) für europäisch geschützte Arten (Anhang-IV-Arten der FFH-Richtlinie, europäische Vogelarten) einschlägig sein können. Kann ein Verstoß mit ausreichender Sicherheit ausgeschlossen werden, bedarf es keiner vertiefenden Prüfung (Stufe II / Artenschutzbeitrag).</w:t>
      </w:r>
    </w:p>
    <w:p/>
    <w:p>
      <w:pPr>
        <w:pStyle w:val="Heading2"/>
      </w:pPr>
      <w:r>
        <w:rPr>
          <w:rFonts w:ascii="Times New Roman" w:hAnsi="Times New Roman"/>
        </w:rPr>
        <w:t>2. Beschreibung des Vorhabens und seiner Wirkungen</w:t>
      </w:r>
    </w:p>
    <w:p>
      <w:pPr>
        <w:pStyle w:val="Heading3"/>
      </w:pPr>
      <w:r>
        <w:rPr>
          <w:rFonts w:ascii="Times New Roman" w:hAnsi="Times New Roman"/>
        </w:rPr>
        <w:t>2.1 Bauliche Maßnahmen</w:t>
      </w:r>
    </w:p>
    <w:p>
      <w:pPr>
        <w:pStyle w:val="ListBullet"/>
      </w:pPr>
      <w:r>
        <w:t xml:space="preserve">Aufstellung des Schaufeltrockners auf ca. 12 m² Fundament </w:t>
      </w:r>
      <w:r>
        <w:rPr>
          <w:b/>
        </w:rPr>
        <w:t>innerhalb bestehender Halle 4a</w:t>
      </w:r>
      <w:r>
        <w:t xml:space="preserve"> (keine neuen Außenbauwerke)</w:t>
      </w:r>
    </w:p>
    <w:p>
      <w:pPr>
        <w:pStyle w:val="ListBullet"/>
      </w:pPr>
      <w:r>
        <w:t>Verlegung von Dampf- und Kondensatleitungen im Erdreich (Kabelgraben ca. 45 m lang, 0,6 m tief) entlang der Westfassade Halle 4a, im Bereich befestigter Betriebsfläche</w:t>
      </w:r>
    </w:p>
    <w:p>
      <w:pPr>
        <w:pStyle w:val="ListBullet"/>
      </w:pPr>
      <w:r>
        <w:rPr>
          <w:b/>
        </w:rPr>
        <w:t>Keine Baumfällungen oder Gehölzrodungen</w:t>
      </w:r>
      <w:r>
        <w:t xml:space="preserve"> erforderlich (abweichend von der ursprünglichen Vorplanung; die zunächst geplante Erweiterungsvariante B — mit Außengebäude — wurde zugunsten der Hallenlösung aufgegeben)</w:t>
      </w:r>
    </w:p>
    <w:p>
      <w:pPr>
        <w:pStyle w:val="ListBullet"/>
      </w:pPr>
      <w:r>
        <w:t>Keine Inanspruchnahme von unbefestigten Flächen oder Grünstrukturen</w:t>
      </w:r>
    </w:p>
    <w:p>
      <w:pPr>
        <w:pStyle w:val="Heading3"/>
      </w:pPr>
      <w:r>
        <w:rPr>
          <w:rFonts w:ascii="Times New Roman" w:hAnsi="Times New Roman"/>
        </w:rPr>
        <w:t>2.2 Betriebliche Wirkfaktoren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Wirkfaktor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Reichweite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Lärm (Bau)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Montagearbeiten tagsüber (7–17 Uhr), max. 78 dB(A) am Aufstellungsort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&lt; 50 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Lärm (Betrieb)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Schaufeltrockner 79 dB(A) am Gehäuse, innerhalb geschlossener Halle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&lt; 10 m (Halle)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Erschütterungen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Gering, Schwingungsisolierung vorgesehen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&lt; 5 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neuen Außenbeleuchtungsanlagen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Luftschadstoffe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Staubzusatz &lt; 10 % der Gesamtemission (vgl. BImSchG-Anzeige)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Irrelevant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Beschreibung des Untersuchungsraums</w:t>
      </w:r>
    </w:p>
    <w:p>
      <w:pPr>
        <w:pStyle w:val="Heading3"/>
      </w:pPr>
      <w:r>
        <w:rPr>
          <w:rFonts w:ascii="Times New Roman" w:hAnsi="Times New Roman"/>
        </w:rPr>
        <w:t>3.1 Lage und Habitatstruktur</w:t>
      </w:r>
    </w:p>
    <w:p>
      <w:pPr>
        <w:jc w:val="left"/>
      </w:pPr>
      <w:r>
        <w:t>Das Werkgelände Werk Nord liegt im Industriepark Wesseling-Nord, vollständig innerhalb des Bebauungsplans Nr. 45 "Industriepark Wesseling-Nord" (Festsetzung: Industriegebiet GI). Der Untersuchungsraum (UR) der Vorprüfung umfasst das Werkgelände sowie einen Pufferbereich von 200 m um die geplanten Eingriffsflächen.</w:t>
      </w:r>
    </w:p>
    <w:p>
      <w:pPr>
        <w:jc w:val="left"/>
      </w:pPr>
      <w:r>
        <w:t>Innerhalb des UR befinden sich:</w:t>
      </w:r>
    </w:p>
    <w:p>
      <w:pPr>
        <w:pStyle w:val="ListBullet"/>
      </w:pPr>
      <w:r>
        <w:rPr>
          <w:b/>
        </w:rPr>
        <w:t>Bebaute Industriefläche</w:t>
      </w:r>
      <w:r>
        <w:t xml:space="preserve"> (Hallen, Straßen, Lager): ca. 85 %</w:t>
      </w:r>
    </w:p>
    <w:p>
      <w:pPr>
        <w:pStyle w:val="ListBullet"/>
      </w:pPr>
      <w:r>
        <w:rPr>
          <w:b/>
        </w:rPr>
        <w:t>Grünflächen/Gehölzstreifen</w:t>
      </w:r>
      <w:r>
        <w:t xml:space="preserve"> (Werkseinfahrt, Zaunbegrünung): ca. 8 %</w:t>
      </w:r>
    </w:p>
    <w:p>
      <w:pPr>
        <w:pStyle w:val="ListBullet"/>
      </w:pPr>
      <w:r>
        <w:rPr>
          <w:b/>
        </w:rPr>
        <w:t>Brache / ruderalisierte Fläche</w:t>
      </w:r>
      <w:r>
        <w:t xml:space="preserve"> (ungenutzter Südteil): ca. 7 %, davon ca. 3.200 m² mit höherer ökologischer Wertigkeit</w:t>
      </w:r>
    </w:p>
    <w:p>
      <w:pPr>
        <w:pStyle w:val="Heading3"/>
      </w:pPr>
      <w:r>
        <w:rPr>
          <w:rFonts w:ascii="Times New Roman" w:hAnsi="Times New Roman"/>
        </w:rPr>
        <w:t>3.2 Relevante Habitatstrukturen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Struktur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Lage im 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Ökolog. Wertigkeit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Hinweis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Baumreihe Lindenallee (23 Linden, Pflanzjahr ca. 1985)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Werkszufahrt, Nordseite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Potenzial als Fledermaus-Sommerquartier, Vogelbrut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Alte Halle S-02 (Südhalle)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Südteil Gelände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 (Strukturdiversität)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Konkrete Fledermaus-Beobachtungen (s. u.)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Schotterfläche W-04 (unbefestigt)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Westgrenze Gelände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gering–mittel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Potenzialhabitat Zauneidechse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Ruderalfläche Südost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Südostecke Gelände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Brut- und Nahrungshabitat Boden- und Gehölzbrüter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Kartierungsstand und Datenlage</w:t>
      </w:r>
    </w:p>
    <w:p>
      <w:pPr>
        <w:pStyle w:val="Heading3"/>
      </w:pPr>
      <w:r>
        <w:rPr>
          <w:rFonts w:ascii="Times New Roman" w:hAnsi="Times New Roman"/>
        </w:rPr>
        <w:t>4.1 Vorhandene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Datenquelle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Biotopkataster NRW (LANUV)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kartierten Biotope im Werkgelände; nächstes kartiertes Biotop BK-5107-0142 (Industriebrache Rheinufer) ca. 1,1 km NW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Artkartierung LANUV Fachinformationssystem FIFAS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Großes Mausohr (Myotis myotis): Sommerquartier-Nachweis 2019 in Ziegelgebäude, 600 m östlich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2019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Eigene Gehegebegehungen BÖLÖN (Sichtbeobachtung, 2 Termine)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Fledermäuse (Art unbestimmt) in Südhalle S-02, Dachstuhl; mind. 4 Tiere gesichtet (17.03.2026)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03/2026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Brutvogelkartierung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Noch nicht durchgeführt</w:t>
            </w:r>
            <w:r>
              <w:rPr>
                <w:rFonts w:ascii="Times New Roman" w:hAnsi="Times New Roman"/>
                <w:sz w:val="20"/>
              </w:rPr>
              <w:t xml:space="preserve"> — Brutperiode noch nicht begonnen (Stand: März 2026)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Reptilienkartierung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Nicht durchgeführt</w:t>
            </w:r>
          </w:p>
        </w:tc>
        <w:tc>
          <w:tcPr>
            <w:tcW w:type="dxa" w:w="3024"/>
          </w:tcPr>
          <w:p/>
        </w:tc>
      </w:tr>
    </w:tbl>
    <w:p>
      <w:pPr>
        <w:pStyle w:val="Heading3"/>
      </w:pPr>
      <w:r>
        <w:rPr>
          <w:rFonts w:ascii="Times New Roman" w:hAnsi="Times New Roman"/>
        </w:rPr>
        <w:t>4.2 Fledermaus-Beobachtungen Südhalle</w:t>
      </w:r>
    </w:p>
    <w:p>
      <w:pPr>
        <w:jc w:val="left"/>
      </w:pPr>
      <w:r>
        <w:t>Am 17. März 2026 wurden im Rahmen einer Ortsbegehung (18:30–20:15 Uhr, Lufttemperatur 9 °C) im Dachstuhl von Halle S-02 (Altbau 1967, offene Firstbelüftung, Pultdach) mindestens 4 Fledermausindividuen beobachtet. Die Tiere hingen einzeln an Holzbalken. Eine Artbestimmung war ohne Detektoreinsatz nicht möglich; die Körpergröße und das Flugverhalten deuten auf Zwergfledermaus (</w:t>
      </w:r>
      <w:r>
        <w:rPr>
          <w:i/>
        </w:rPr>
        <w:t>Pipistrellus pipistrellus</w:t>
      </w:r>
      <w:r>
        <w:t>) und/oder Breitflügelfledermaus (</w:t>
      </w:r>
      <w:r>
        <w:rPr>
          <w:i/>
        </w:rPr>
        <w:t>Eptesicus serotini</w:t>
      </w:r>
      <w:r>
        <w:t>) hin, beide Anhang-IV-Arten der FFH-RL.</w:t>
      </w:r>
    </w:p>
    <w:p>
      <w:pPr>
        <w:jc w:val="left"/>
      </w:pPr>
      <w:r>
        <w:rPr>
          <w:b/>
        </w:rPr>
        <w:t>Wichtig:</w:t>
      </w:r>
      <w:r>
        <w:t xml:space="preserve"> Die Südhalle S-02 ist </w:t>
      </w:r>
      <w:r>
        <w:rPr>
          <w:b/>
        </w:rPr>
        <w:t>nicht</w:t>
      </w:r>
      <w:r>
        <w:t xml:space="preserve"> Gegenstand der aktuellen Erweiterungsplanung. Eingriffe in Halle S-02 sind weder baulich noch betrieblich geplant.</w:t>
      </w:r>
    </w:p>
    <w:p/>
    <w:p>
      <w:pPr>
        <w:pStyle w:val="Heading2"/>
      </w:pPr>
      <w:r>
        <w:rPr>
          <w:rFonts w:ascii="Times New Roman" w:hAnsi="Times New Roman"/>
        </w:rPr>
        <w:t>5. FFH-Bezug</w:t>
      </w:r>
    </w:p>
    <w:p>
      <w:pPr>
        <w:jc w:val="left"/>
      </w:pPr>
      <w:r>
        <w:t xml:space="preserve">Das nächste </w:t>
      </w:r>
      <w:r>
        <w:rPr>
          <w:b/>
        </w:rPr>
        <w:t>FFH-Gebiet</w:t>
      </w:r>
      <w:r>
        <w:t xml:space="preserve"> ist das Gebiet "Rhein-Fischschutzzonen zwischen Emmerich und Bad Honnef" (DE-4205-301), ca. 2,4 km westlich des Werkgeländes. Ein </w:t>
      </w:r>
      <w:r>
        <w:rPr>
          <w:b/>
        </w:rPr>
        <w:t>Vogelschutzgebiet</w:t>
      </w:r>
      <w:r>
        <w:t xml:space="preserve"> (SPA) liegt im Radius von 5 km nicht vor.</w:t>
      </w:r>
    </w:p>
    <w:p>
      <w:pPr>
        <w:jc w:val="left"/>
      </w:pPr>
      <w:r>
        <w:t xml:space="preserve">Eine erhebliche Beeinträchtigung des FFH-Schutzgebiets durch die geplanten Maßnahmen (rein innenbauliche Erweiterung, keine neuen Immissionen in Richtung Rhein) kann </w:t>
      </w:r>
      <w:r>
        <w:rPr>
          <w:b/>
        </w:rPr>
        <w:t>ausgeschlossen</w:t>
      </w:r>
      <w:r>
        <w:t xml:space="preserve"> werden. Eine FFH-Verträglichkeitsprüfung nach § 34 BNatSchG ist nicht erforderlich.</w:t>
      </w:r>
    </w:p>
    <w:p/>
    <w:p>
      <w:pPr>
        <w:pStyle w:val="Heading2"/>
      </w:pPr>
      <w:r>
        <w:rPr>
          <w:rFonts w:ascii="Times New Roman" w:hAnsi="Times New Roman"/>
        </w:rPr>
        <w:t>6. Prüfung artenschutzrechtlicher Verbotstatbestände</w:t>
      </w:r>
    </w:p>
    <w:p>
      <w:pPr>
        <w:pStyle w:val="Heading3"/>
      </w:pPr>
      <w:r>
        <w:rPr>
          <w:rFonts w:ascii="Times New Roman" w:hAnsi="Times New Roman"/>
        </w:rPr>
        <w:t>6.1 Fledermäuse (Anhang-IV-FFH-RL, § 44 Abs. 1 Nr. 1–3 BNatSchG)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Verbotstatbestand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Einschlägig?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Tötung / Verletzung (Nr. 1)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Eingriffe in Halle S-02 (nachgewiesenes Quartier). Trocknungsanlage in Halle 4a (anderer Gebäudeteil, keine Fledermausnachweise).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Störung während sensibler Phasen (Nr. 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Möglich, vertiefend zu prüfen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Baulärmemissionen tagsüber in der Sommer-/Wochenstubenzeit (Mai–August). Halle S-02 liegt ca. 90 m von Halle 4a entfernt.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Zerstörung Fortpflanzungs-/Ruhestätten (Nr. 3)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Quartier in Halle S-02 nicht berührt.</w:t>
            </w:r>
          </w:p>
        </w:tc>
      </w:tr>
    </w:tbl>
    <w:p>
      <w:pPr>
        <w:jc w:val="left"/>
      </w:pPr>
      <w:r>
        <w:rPr>
          <w:b/>
        </w:rPr>
        <w:t>Empfehlung:</w:t>
      </w:r>
      <w:r>
        <w:t xml:space="preserve"> Für den Verbotstatbestand Nr. 2 ist eine </w:t>
      </w:r>
      <w:r>
        <w:rPr>
          <w:b/>
        </w:rPr>
        <w:t>vertiefende Prüfung (Stufe II)</w:t>
      </w:r>
      <w:r>
        <w:t xml:space="preserve"> mit Detektor-Kartierung und Bestimmung der Koloniegröße in Halle S-02 erforderlich. Bauzeitenregelung (Lärmintensive Maßnahmen außerhalb Mai–Juli) sollte als Vermeidungsmaßnahme geprüft werden.</w:t>
      </w:r>
    </w:p>
    <w:p>
      <w:pPr>
        <w:pStyle w:val="Heading3"/>
      </w:pPr>
      <w:r>
        <w:rPr>
          <w:rFonts w:ascii="Times New Roman" w:hAnsi="Times New Roman"/>
        </w:rPr>
        <w:t>6.2 Europäische Vogelarten (§ 44 Abs. 1 Nr. 1–3 BNatSchG i. V. m. Art. 1 VSchRL)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Verbotstatbestand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Einschlägig?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Tötung / Verletzung (Nr. 1)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Baumfällungen, keine Vegetationsbeseitigung.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Störung während Brut (Nr. 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Nicht sicher auszuschließen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Baulärm Mai–Juli. Lindenallee in 80 m Entfernung als potenzielle Brutstätte (Halbhöhlenbrüter, Meisen).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Zerstörung Nester (Nr. 3)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Rodungen oder Eingriffe in Gehölze.</w:t>
            </w:r>
          </w:p>
        </w:tc>
      </w:tr>
    </w:tbl>
    <w:p>
      <w:pPr>
        <w:jc w:val="left"/>
      </w:pPr>
      <w:r>
        <w:rPr>
          <w:b/>
        </w:rPr>
        <w:t>Empfehlung:</w:t>
      </w:r>
      <w:r>
        <w:t xml:space="preserve"> Brutvogelerfassung (Punkt-Stopp-Kartierung, min. 3 Begehungen April–Juni) zur Absicherung. Baulärm außerhalb der Hauptbrutzeit (max. April und ab August), alternativ Ausnahme nach § 45 Abs. 7 BNatSchG beantragen, wenn Zeitplan dies erfordert.</w:t>
      </w:r>
    </w:p>
    <w:p>
      <w:pPr>
        <w:pStyle w:val="Heading3"/>
      </w:pPr>
      <w:r>
        <w:rPr>
          <w:rFonts w:ascii="Times New Roman" w:hAnsi="Times New Roman"/>
        </w:rPr>
        <w:t>6.3 Zauneidechse (</w:t>
      </w:r>
      <w:r>
        <w:rPr>
          <w:rFonts w:ascii="Times New Roman" w:hAnsi="Times New Roman"/>
          <w:i/>
        </w:rPr>
        <w:t>Lacerta agilis</w:t>
      </w:r>
      <w:r>
        <w:rPr>
          <w:rFonts w:ascii="Times New Roman" w:hAnsi="Times New Roman"/>
        </w:rPr>
        <w:t>, Anhang-IV-FFH-RL)</w:t>
      </w:r>
    </w:p>
    <w:p>
      <w:pPr>
        <w:jc w:val="left"/>
      </w:pPr>
      <w:r>
        <w:t>Die Schotterfläche W-04 am Westrand des Geländes liegt außerhalb der direkten Baufläche, aber der Leitungsgraben (45 m) führt in ca. 12 m Abstand daran vorbei.</w:t>
      </w:r>
    </w:p>
    <w:p>
      <w:pPr>
        <w:jc w:val="left"/>
      </w:pPr>
      <w:r>
        <w:rPr>
          <w:b/>
        </w:rPr>
        <w:t>Empfehlung:</w:t>
      </w:r>
      <w:r>
        <w:t xml:space="preserve"> Reptilienkartierung (Fangreusenmethode oder Schlangenbretter, April/Mai 2026) an Schotterfläche W-04 vor Baubeginn.</w:t>
      </w:r>
    </w:p>
    <w:p/>
    <w:p>
      <w:pPr>
        <w:pStyle w:val="Heading2"/>
      </w:pPr>
      <w:r>
        <w:rPr>
          <w:rFonts w:ascii="Times New Roman" w:hAnsi="Times New Roman"/>
        </w:rPr>
        <w:t>7. Gesamtbewertung und Empfehlung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Art(gruppe)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Betroffenheit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Weiteres Vorgehen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Fledermäuse (S-02)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 (Störungspotenzial)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Detektorkartierung + Stufenprüfung II, Bauzeitenregelung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Vögel (Lindenallee)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Brutvogelkartierung, Baulärm-Zeitplan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Zauneidechse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gering–mittel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Reptilienkartierung W-04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FFH-Gebiete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weiteren Maßnahmen</w:t>
            </w:r>
          </w:p>
        </w:tc>
      </w:tr>
    </w:tbl>
    <w:p>
      <w:pPr>
        <w:jc w:val="left"/>
      </w:pPr>
      <w:r>
        <w:rPr>
          <w:b/>
        </w:rPr>
        <w:t>Fazit:</w:t>
      </w:r>
      <w:r>
        <w:t xml:space="preserve"> Das Vorhaben löst keine offensichtlichen Verbotstatbestände nach § 44 Abs. 1 BNatSchG aus, solange die Südhalle S-02 nicht berührt wird. Für Fledermäuse und Vögel ist eine </w:t>
      </w:r>
      <w:r>
        <w:rPr>
          <w:b/>
        </w:rPr>
        <w:t>vertiefende Prüfung (Artenschutzbeitrag Stufe II)</w:t>
      </w:r>
      <w:r>
        <w:t xml:space="preserve"> einzuholen. Bauzeiten sollten auf </w:t>
      </w:r>
      <w:r>
        <w:rPr>
          <w:b/>
        </w:rPr>
        <w:t>September bis April</w:t>
      </w:r>
      <w:r>
        <w:t xml:space="preserve"> beschränkt werden (Beginn der lärmintensiven Phase nach Abschluss Brutsaison); alternativ können CEF-Maßnahmen (ökologische Vorausbewältigung: Fledermauskästen, vorgezogene Ausgleichsmaßnahmen) ergriffen werden.</w:t>
      </w:r>
    </w:p>
    <w:p>
      <w:pPr>
        <w:jc w:val="left"/>
      </w:pPr>
      <w:r>
        <w:t>Die Ergebnisse dieser Vorprüfung sind der Bezirksregierung Köln mit der Baugenehmigungsunterlagen vorzulegen.</w:t>
      </w:r>
    </w:p>
    <w:p/>
    <w:p>
      <w:pPr>
        <w:pStyle w:val="Heading2"/>
      </w:pPr>
      <w:r>
        <w:rPr>
          <w:rFonts w:ascii="Times New Roman" w:hAnsi="Times New Roman"/>
        </w:rPr>
        <w:t>Anhang: Kartenübersicht (Beschreibung)</w:t>
      </w:r>
    </w:p>
    <w:p>
      <w:pPr>
        <w:jc w:val="left"/>
      </w:pPr>
      <w:r>
        <w:rPr>
          <w:i/>
        </w:rPr>
        <w:t>Karte 1: Lage des Vorhabens und Untersuchungsraum (Maßstab 1:5.000)</w:t>
      </w:r>
    </w:p>
    <w:p>
      <w:pPr>
        <w:jc w:val="left"/>
      </w:pPr>
      <w:r>
        <w:rPr>
          <w:i/>
        </w:rPr>
        <w:t>Karte 2: Biotoptypen und Habitatstrukturen im Untersuchungsraum</w:t>
      </w:r>
    </w:p>
    <w:p>
      <w:pPr>
        <w:jc w:val="left"/>
      </w:pPr>
      <w:r>
        <w:rPr>
          <w:i/>
        </w:rPr>
        <w:t>Karte 3: Beobachtungspunkte Fledermäuse (Gehegebegehung 17.03.2026)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Rheinland Spezialchemie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Rheinland Spezialchemie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Industriestraße 47, 50389 Wesseling · Aktenzeichen Büro: BÖLÖN-2026-041-RSGmbH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