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Prozess- und Eilstrategie</w:t>
      </w:r>
    </w:p>
    <w:p>
      <w:pPr>
        <w:pStyle w:val="Heading2"/>
      </w:pPr>
      <w:r>
        <w:rPr>
          <w:rFonts w:ascii="Times New Roman" w:hAnsi="Times New Roman"/>
        </w:rPr>
        <w:t>Mögliche Anspruchsteller</w:t>
      </w:r>
    </w:p>
    <w:p>
      <w:pPr>
        <w:pStyle w:val="ListBullet"/>
      </w:pPr>
      <w:r>
        <w:t>Nachtbogen Records GmbH gegen Auerbach: Unterlassung, Auskunft, Schadensersatz wegen behaupteter Tonträgerübernahme.</w:t>
      </w:r>
    </w:p>
    <w:p>
      <w:pPr>
        <w:pStyle w:val="ListBullet"/>
      </w:pPr>
      <w:r>
        <w:t>Fredwina Zornau gegen Auerbach: Namensnennung, Vergütung, Unterlassung einer Nutzung ohne Rechteklärung.</w:t>
      </w:r>
    </w:p>
    <w:p>
      <w:pPr>
        <w:pStyle w:val="ListBullet"/>
      </w:pPr>
      <w:r>
        <w:t>Henning Valtin gegen Auerbach: Miturheber-/Producer-Beitrag, Preset-/Demo-Übernahme, Vergütung.</w:t>
      </w:r>
    </w:p>
    <w:p>
      <w:pPr>
        <w:pStyle w:val="ListBullet"/>
      </w:pPr>
      <w:r>
        <w:t>Auerbach gegen Neuronest: Auskunft, Gewährleistung, Freistellung oder vertragliche Unterstützung, soweit AGB tragen.</w:t>
      </w:r>
    </w:p>
    <w:p>
      <w:pPr>
        <w:pStyle w:val="ListBullet"/>
      </w:pPr>
      <w:r>
        <w:t>Auerbach gegen Plattform: Wiederherstellung oder Nicht-Sperrung der Preview, abhängig vom Plattformregime.</w:t>
      </w:r>
    </w:p>
    <w:p>
      <w:pPr>
        <w:pStyle w:val="Heading2"/>
      </w:pPr>
      <w:r>
        <w:rPr>
          <w:rFonts w:ascii="Times New Roman" w:hAnsi="Times New Roman"/>
        </w:rPr>
        <w:t>Verteidigungsroute gegen Nachtbogen</w:t>
      </w:r>
    </w:p>
    <w:p>
      <w:pPr>
        <w:pStyle w:val="ListNumber"/>
      </w:pPr>
      <w:r>
        <w:t>Vollständiges Referenzmaterial anfordern.</w:t>
      </w:r>
    </w:p>
    <w:p>
      <w:pPr>
        <w:pStyle w:val="ListNumber"/>
      </w:pPr>
      <w:r>
        <w:t>Eigene Beweissicherung mit Hashlog und DAW-Export.</w:t>
      </w:r>
    </w:p>
    <w:p>
      <w:pPr>
        <w:pStyle w:val="ListNumber"/>
      </w:pPr>
      <w:r>
        <w:t>Keine pauschale Unterlassung für „ähnliche Glasgeräusche“.</w:t>
      </w:r>
    </w:p>
    <w:p>
      <w:pPr>
        <w:pStyle w:val="ListNumber"/>
      </w:pPr>
      <w:r>
        <w:t>Technische Alternativerklärung: internes Plugin + MIDI, kein Audioimport.</w:t>
      </w:r>
    </w:p>
    <w:p>
      <w:pPr>
        <w:pStyle w:val="ListNumber"/>
      </w:pPr>
      <w:r>
        <w:t>Vergleich nur releasebezogen und ohne Anerkenntnis.</w:t>
      </w:r>
    </w:p>
    <w:p>
      <w:pPr>
        <w:pStyle w:val="Heading2"/>
      </w:pPr>
      <w:r>
        <w:rPr>
          <w:rFonts w:ascii="Times New Roman" w:hAnsi="Times New Roman"/>
        </w:rPr>
        <w:t>Interne Bereinigungsroute</w:t>
      </w:r>
    </w:p>
    <w:p>
      <w:pPr>
        <w:jc w:val="left"/>
      </w:pPr>
      <w:r>
        <w:t>Fredwina und Henning nicht wie Gegner behandeln, solange sie den Release nicht blockieren. Beide können die eigene Rechtekette stabilisieren, wenn Credits und Vergütung pragmatisch geklärt werden. Der größere Schaden liegt in einem ungeklärten Release gegenüber dem Werbekunden.</w:t>
      </w:r>
    </w:p>
    <w:p>
      <w:pPr>
        <w:pStyle w:val="Heading2"/>
      </w:pPr>
      <w:r>
        <w:rPr>
          <w:rFonts w:ascii="Times New Roman" w:hAnsi="Times New Roman"/>
        </w:rPr>
        <w:t>Eilverfahren Risiko</w:t>
      </w:r>
    </w:p>
    <w:p>
      <w:pPr>
        <w:jc w:val="left"/>
      </w:pPr>
      <w:r>
        <w:t>Nachtbogen könnte eine einstweilige Verfügung anstreben. Dringlichkeit hängt von Kenntnis und Reaktion ab. Auerbach muss darauf vorbereitet sein, binnen Stunden Rechtekette, Produktionsweise und technischen Gegenbeweis vorzulegen.</w:t>
      </w:r>
    </w:p>
    <w:p>
      <w:pPr>
        <w:pStyle w:val="Heading2"/>
      </w:pPr>
      <w:r>
        <w:rPr>
          <w:rFonts w:ascii="Times New Roman" w:hAnsi="Times New Roman"/>
        </w:rPr>
        <w:t>Dokumentenpaket für den Ernstfall</w:t>
      </w:r>
    </w:p>
    <w:p>
      <w:pPr>
        <w:pStyle w:val="ListBullet"/>
      </w:pPr>
      <w:r>
        <w:t>Eidesstattliche Versicherung Maralda Auerbach zur Produktionsweise.</w:t>
      </w:r>
    </w:p>
    <w:p>
      <w:pPr>
        <w:pStyle w:val="ListBullet"/>
      </w:pPr>
      <w:r>
        <w:t>Technischer Vermerk zum Kieselglas-Preset.</w:t>
      </w:r>
    </w:p>
    <w:p>
      <w:pPr>
        <w:pStyle w:val="ListBullet"/>
      </w:pPr>
      <w:r>
        <w:t>Prompt- und Exportlog Neuronest.</w:t>
      </w:r>
    </w:p>
    <w:p>
      <w:pPr>
        <w:pStyle w:val="ListBullet"/>
      </w:pPr>
      <w:r>
        <w:t>Hashliste aller Dateien.</w:t>
      </w:r>
    </w:p>
    <w:p>
      <w:pPr>
        <w:pStyle w:val="ListBullet"/>
      </w:pPr>
      <w:r>
        <w:t>Vertragliche Unterlagen Fredwina/Henning/Silberfarn.</w:t>
      </w:r>
    </w:p>
    <w:p>
      <w:pPr>
        <w:pStyle w:val="ListBullet"/>
      </w:pPr>
      <w:r>
        <w:t>Plattformticket und Claim Letter.</w:t>
      </w:r>
    </w:p>
    <w:p>
      <w:pPr>
        <w:pStyle w:val="ListBullet"/>
      </w:pPr>
      <w:r>
        <w:t>Vorläufiges Sachverständigenbriefing.</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Nachtbogen Records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Nachtbogen Records GmbH</w:t>
    </w:r>
  </w:p>
  <w:p>
    <w:pPr>
      <w:jc w:val="left"/>
      <w:pBdr>
        <w:bottom w:val="single" w:sz="6" w:space="2" w:color="7B2D3B"/>
      </w:pBdr>
    </w:pPr>
    <w:r>
      <w:rPr>
        <w:rFonts w:ascii="Times New Roman" w:hAnsi="Times New Roman"/>
        <w:color w:val="6B6B66"/>
        <w:sz w:val="16"/>
      </w:rPr>
      <w:t>Auskunft, Schadensersatz wegen behaupteter Tonträgerübernahme.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