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Rubrum und Tenor-Entwurf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Stand:</w:t>
      </w:r>
      <w:r>
        <w:t xml:space="preserve"> Entwurf nach Schlussverhandlung 17.09.2026</w:t>
      </w:r>
    </w:p>
    <w:p/>
    <w:p>
      <w:pPr>
        <w:pStyle w:val="Heading2"/>
      </w:pPr>
      <w:r>
        <w:rPr>
          <w:rFonts w:ascii="Times New Roman" w:hAnsi="Times New Roman"/>
        </w:rPr>
        <w:t>I. Rubrum</w:t>
      </w:r>
    </w:p>
    <w:p>
      <w:pPr>
        <w:jc w:val="left"/>
      </w:pPr>
      <w:r>
        <w:rPr>
          <w:b/>
        </w:rPr>
        <w:t>LANDGERICHT LEIPZIG</w:t>
      </w:r>
    </w:p>
    <w:p>
      <w:pPr>
        <w:jc w:val="left"/>
      </w:pPr>
      <w:r>
        <w:rPr>
          <w:b/>
        </w:rPr>
        <w:t>8. Zivilkammer</w:t>
      </w:r>
    </w:p>
    <w:p>
      <w:pPr>
        <w:jc w:val="left"/>
      </w:pPr>
      <w:r>
        <w:rPr>
          <w:b/>
        </w:rPr>
        <w:t>Im Namen des Volkes</w:t>
      </w:r>
    </w:p>
    <w:p>
      <w:pPr>
        <w:jc w:val="left"/>
      </w:pPr>
      <w:r>
        <w:rPr>
          <w:b/>
        </w:rPr>
        <w:t>URTEIL</w:t>
      </w:r>
    </w:p>
    <w:p>
      <w:pPr>
        <w:jc w:val="left"/>
      </w:pPr>
      <w:r>
        <w:t>In dem Rechtsstreit</w:t>
      </w:r>
    </w:p>
    <w:p>
      <w:pPr>
        <w:jc w:val="left"/>
      </w:pPr>
      <w:r>
        <w:rPr>
          <w:b/>
        </w:rPr>
        <w:t>Radarwarner GmbH</w:t>
      </w:r>
      <w:r>
        <w:t>, vertreten durch den Geschäftsführer Markus Heinsberg, Holzmarktstraße 12, 04109 Leipzig</w:t>
      </w:r>
    </w:p>
    <w:p>
      <w:pPr>
        <w:jc w:val="left"/>
      </w:pPr>
      <w:r>
        <w:t xml:space="preserve">— </w:t>
      </w:r>
      <w:r>
        <w:rPr>
          <w:b/>
        </w:rPr>
        <w:t>Klägerin</w:t>
      </w:r>
      <w:r>
        <w:t xml:space="preserve"> —</w:t>
      </w:r>
    </w:p>
    <w:p>
      <w:pPr>
        <w:jc w:val="left"/>
      </w:pPr>
      <w:r>
        <w:t>Prozessbevollmächtigte: RAin Dr. Miriam Feldkötter-Haas, Kanzlei Feldkötter &amp; Partner, Nikolaistraße 5, 04109 Leipzig</w:t>
      </w:r>
    </w:p>
    <w:p>
      <w:pPr>
        <w:jc w:val="left"/>
      </w:pPr>
      <w:r>
        <w:t>gegen</w:t>
      </w:r>
    </w:p>
    <w:p>
      <w:pPr>
        <w:jc w:val="left"/>
      </w:pPr>
      <w:r>
        <w:rPr>
          <w:b/>
        </w:rPr>
        <w:t>Schreinmoor Bauträger AG</w:t>
      </w:r>
      <w:r>
        <w:t>, vertreten durch den Vorstand, Plagwitzer Allee 1, 04229 Leipzig</w:t>
      </w:r>
    </w:p>
    <w:p>
      <w:pPr>
        <w:jc w:val="left"/>
      </w:pPr>
      <w:r>
        <w:t xml:space="preserve">— </w:t>
      </w:r>
      <w:r>
        <w:rPr>
          <w:b/>
        </w:rPr>
        <w:t>Beklagte</w:t>
      </w:r>
      <w:r>
        <w:t xml:space="preserve"> —</w:t>
      </w:r>
    </w:p>
    <w:p>
      <w:pPr>
        <w:jc w:val="left"/>
      </w:pPr>
      <w:r>
        <w:t>Prozessbevollmächtigter: RA Prof. Dr. Clemens Osterhoff-Bram, Schillerstraße 47, 60313 Frankfurt am Main</w:t>
      </w:r>
    </w:p>
    <w:p>
      <w:pPr>
        <w:jc w:val="left"/>
      </w:pPr>
      <w:r>
        <w:t>hat die 8. Zivilkammer des Landgerichts Leipzig durch</w:t>
      </w:r>
    </w:p>
    <w:p>
      <w:pPr>
        <w:jc w:val="left"/>
      </w:pPr>
      <w:r>
        <w:t>die Vorsitzende Richterin am Landgericht Dr. Tannenberg-Eichmueller,</w:t>
      </w:r>
    </w:p>
    <w:p>
      <w:pPr>
        <w:jc w:val="left"/>
      </w:pPr>
      <w:r>
        <w:t>den Richter am Landgericht Dr. Roosendaal</w:t>
      </w:r>
    </w:p>
    <w:p>
      <w:pPr>
        <w:jc w:val="left"/>
      </w:pPr>
      <w:r>
        <w:t>und den Richteramtsgehilfen Wittfeldt</w:t>
      </w:r>
    </w:p>
    <w:p>
      <w:pPr>
        <w:jc w:val="left"/>
      </w:pPr>
      <w:r>
        <w:t>aufgrund der mündlichen Verhandlung vom 17. September 2026</w:t>
      </w:r>
    </w:p>
    <w:p>
      <w:pPr>
        <w:jc w:val="left"/>
      </w:pPr>
      <w:r>
        <w:t>am 08. Oktober 2026</w:t>
      </w:r>
    </w:p>
    <w:p>
      <w:pPr>
        <w:jc w:val="left"/>
      </w:pPr>
      <w:r>
        <w:t xml:space="preserve">für </w:t>
      </w:r>
      <w:r>
        <w:rPr>
          <w:b/>
        </w:rPr>
        <w:t>Recht erkannt:</w:t>
      </w:r>
    </w:p>
    <w:p/>
    <w:p>
      <w:pPr>
        <w:pStyle w:val="Heading2"/>
      </w:pPr>
      <w:r>
        <w:rPr>
          <w:rFonts w:ascii="Times New Roman" w:hAnsi="Times New Roman"/>
        </w:rPr>
        <w:t>II. Tenor-Varianten (Kammer-Beratung)</w:t>
      </w:r>
    </w:p>
    <w:p>
      <w:pPr>
        <w:pStyle w:val="Heading3"/>
      </w:pPr>
      <w:r>
        <w:rPr>
          <w:rFonts w:ascii="Times New Roman" w:hAnsi="Times New Roman"/>
        </w:rPr>
        <w:t>Variante A — Teilverurteilung, Hilfsaufrechnung teilweise durchgreifend (Kammerempfehlung)</w:t>
      </w:r>
    </w:p>
    <w:p>
      <w:pPr>
        <w:ind w:left="567"/>
      </w:pPr>
      <w:r>
        <w:rPr>
          <w:i/>
        </w:rPr>
        <w:t xml:space="preserve">1. Die Beklagte wird verurteilt, an die Klägerin </w:t>
      </w:r>
      <w:r>
        <w:rPr>
          <w:b/>
          <w:i/>
        </w:rPr>
        <w:t>EUR 40.980,00</w:t>
      </w:r>
      <w:r>
        <w:rPr>
          <w:i/>
        </w:rPr>
        <w:t xml:space="preserve"> nebst Zinsen in Höhe von 9 Prozentpunkten über dem Basiszinssatz seit dem 12.12.2025 zu zahlen.</w:t>
      </w:r>
    </w:p>
    <w:p>
      <w:pPr>
        <w:ind w:left="567"/>
      </w:pPr>
    </w:p>
    <w:p>
      <w:pPr>
        <w:ind w:left="567"/>
      </w:pPr>
      <w:r>
        <w:rPr>
          <w:i/>
        </w:rPr>
        <w:t>2. Im Übrigen wird die Klage abgewiesen.</w:t>
      </w:r>
    </w:p>
    <w:p>
      <w:pPr>
        <w:ind w:left="567"/>
      </w:pPr>
    </w:p>
    <w:p>
      <w:pPr>
        <w:ind w:left="567"/>
      </w:pPr>
      <w:r>
        <w:rPr>
          <w:i/>
        </w:rPr>
        <w:t>3. Von den Kosten des Rechtsstreits trägt die Klägerin 90%, die Beklagte 10%.</w:t>
      </w:r>
    </w:p>
    <w:p>
      <w:pPr>
        <w:ind w:left="567"/>
      </w:pPr>
    </w:p>
    <w:p>
      <w:pPr>
        <w:ind w:left="567"/>
      </w:pPr>
      <w:r>
        <w:rPr>
          <w:i/>
        </w:rPr>
        <w:t>4. Das Urteil ist gegen Sicherheitsleistung in Höhe von 110% des jeweils zu vollstreckenden Betrages vorläufig vollstreckbar.</w:t>
      </w:r>
    </w:p>
    <w:p>
      <w:pPr>
        <w:ind w:left="567"/>
      </w:pPr>
    </w:p>
    <w:p>
      <w:pPr>
        <w:ind w:left="567"/>
      </w:pPr>
      <w:r>
        <w:rPr>
          <w:i/>
        </w:rPr>
        <w:t xml:space="preserve">5. Der Streitwert wird auf </w:t>
      </w:r>
      <w:r>
        <w:rPr>
          <w:b/>
          <w:i/>
        </w:rPr>
        <w:t>EUR 1.040.680,00</w:t>
      </w:r>
      <w:r>
        <w:rPr>
          <w:i/>
        </w:rPr>
        <w:t xml:space="preserve"> festgesetzt.</w:t>
      </w:r>
    </w:p>
    <w:p>
      <w:pPr>
        <w:jc w:val="left"/>
      </w:pPr>
      <w:r>
        <w:t>Berechnung: Klage EUR 428.180 abzgl. durchgreifende Hilfsaufrechnung EUR 387.200 = Nettobetrag EUR 40.980.</w:t>
      </w:r>
    </w:p>
    <w:p>
      <w:pPr>
        <w:pStyle w:val="Heading3"/>
      </w:pPr>
      <w:r>
        <w:rPr>
          <w:rFonts w:ascii="Times New Roman" w:hAnsi="Times New Roman"/>
        </w:rPr>
        <w:t>Variante B — Vollständige Klagabweisung (falls Aufrechnung EUR 428.180 durchgreift)</w:t>
      </w:r>
    </w:p>
    <w:p>
      <w:pPr>
        <w:ind w:left="567"/>
      </w:pPr>
      <w:r>
        <w:rPr>
          <w:i/>
        </w:rPr>
        <w:t>1. Die Klage wird abgewiesen.</w:t>
      </w:r>
    </w:p>
    <w:p>
      <w:pPr>
        <w:ind w:left="567"/>
      </w:pPr>
      <w:r>
        <w:rPr>
          <w:i/>
        </w:rPr>
        <w:t>2. Die Klägerin trägt die Kosten des Rechtsstreits.</w:t>
      </w:r>
    </w:p>
    <w:p>
      <w:pPr>
        <w:ind w:left="567"/>
      </w:pPr>
      <w:r>
        <w:rPr>
          <w:i/>
        </w:rPr>
        <w:t>3. Das Urteil ist vorläufig vollstreckbar.</w:t>
      </w:r>
    </w:p>
    <w:p>
      <w:pPr>
        <w:pStyle w:val="Heading3"/>
      </w:pPr>
      <w:r>
        <w:rPr>
          <w:rFonts w:ascii="Times New Roman" w:hAnsi="Times New Roman"/>
        </w:rPr>
        <w:t>Variante C — Vollverurteilung (falls Aufrechnung scheitert/Verjährung aller Mängel)</w:t>
      </w:r>
    </w:p>
    <w:p>
      <w:pPr>
        <w:ind w:left="567"/>
      </w:pPr>
      <w:r>
        <w:rPr>
          <w:i/>
        </w:rPr>
        <w:t>1. Die Beklagte wird verurteilt, an die Klägerin EUR 428.180,00 nebst Zinsen von 9 Prozentpunkten über Basiszins seit 12.12.2025 zu zahlen.</w:t>
      </w:r>
    </w:p>
    <w:p>
      <w:pPr>
        <w:ind w:left="567"/>
      </w:pPr>
      <w:r>
        <w:rPr>
          <w:i/>
        </w:rPr>
        <w:t>2. Die Beklagte trägt die Kosten.</w:t>
      </w:r>
    </w:p>
    <w:p>
      <w:pPr>
        <w:ind w:left="567"/>
      </w:pPr>
      <w:r>
        <w:rPr>
          <w:i/>
        </w:rPr>
        <w:t>3. Das Urteil ist gegen Sicherheitsleistung in Höhe von 110% vorläufig vollstreckbar.</w:t>
      </w:r>
    </w:p>
    <w:p/>
    <w:p>
      <w:pPr>
        <w:pStyle w:val="Heading2"/>
      </w:pPr>
      <w:r>
        <w:rPr>
          <w:rFonts w:ascii="Times New Roman" w:hAnsi="Times New Roman"/>
        </w:rPr>
        <w:t>III. Kammerentscheidung</w:t>
      </w:r>
    </w:p>
    <w:p>
      <w:pPr>
        <w:jc w:val="left"/>
      </w:pPr>
      <w:r>
        <w:t xml:space="preserve">Kammer folgt </w:t>
      </w:r>
      <w:r>
        <w:rPr>
          <w:b/>
        </w:rPr>
        <w:t>Variante A</w:t>
      </w:r>
      <w:r>
        <w:t xml:space="preserve"> nach Beratung 08.10.2026 — Begründung siehe Aktenstück 15 (Entscheidungsgründe) und 19 (Vorberatungsnotiz).</w:t>
      </w:r>
    </w:p>
    <w:p>
      <w:pPr>
        <w:jc w:val="left"/>
      </w:pPr>
      <w:r>
        <w:t>Stimmen: Einstimmig.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