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Zeugenaussage Wilhelm Eickenmueller</w:t>
      </w:r>
    </w:p>
    <w:p>
      <w:pPr>
        <w:jc w:val="left"/>
      </w:pPr>
      <w:r>
        <w:rPr>
          <w:b/>
        </w:rPr>
        <w:t>AZ:</w:t>
      </w:r>
      <w:r>
        <w:t xml:space="preserve"> 8 O 188/26</w:t>
      </w:r>
    </w:p>
    <w:p>
      <w:pPr>
        <w:jc w:val="left"/>
      </w:pPr>
      <w:r>
        <w:rPr>
          <w:b/>
        </w:rPr>
        <w:t>Termin:</w:t>
      </w:r>
      <w:r>
        <w:t xml:space="preserve"> 12.06.2026, 11:02 Uhr</w:t>
      </w:r>
    </w:p>
    <w:p>
      <w:pPr>
        <w:jc w:val="left"/>
      </w:pPr>
      <w:r>
        <w:rPr>
          <w:b/>
        </w:rPr>
        <w:t>Zeuge:</w:t>
      </w:r>
      <w:r>
        <w:t xml:space="preserve"> Wilhelm Eickenmueller, geb. 14.03.1969, Fichtestraße 22, 04275 Leipzig; Polier, früher beschäftigt bei Radarwarner GmbH bis 30.04.2024</w:t>
      </w:r>
    </w:p>
    <w:p/>
    <w:p>
      <w:pPr>
        <w:pStyle w:val="Heading2"/>
      </w:pPr>
      <w:r>
        <w:rPr>
          <w:rFonts w:ascii="Times New Roman" w:hAnsi="Times New Roman"/>
        </w:rPr>
        <w:t>Belehrung und Angaben zur Person</w:t>
      </w:r>
    </w:p>
    <w:p>
      <w:pPr>
        <w:jc w:val="left"/>
      </w:pPr>
      <w:r>
        <w:t>Zeuge wurde über sein Zeugnisverweigerungsrecht belehrt (§§ 383, 384 ZPO); kein Verweigerungsrecht geltend gemacht. Auf die Wahrheitspflicht hingewiesen (§ 395 ZPO). Keine Verwandtschaft zu Parteien.</w:t>
      </w:r>
    </w:p>
    <w:p>
      <w:pPr>
        <w:jc w:val="left"/>
      </w:pPr>
      <w:r>
        <w:t>Zeuge gibt an: Er sei von Oktober 2022 bis März 2024 als Polier auf der Baustelle Spreebogen Plagwitz eingesetzt gewesen. Seit Mai 2024 sei er nicht mehr bei der Klägerin beschäftigt; jetzt selbstständig als Baustellenkoordinator.</w:t>
      </w:r>
    </w:p>
    <w:p>
      <w:pPr>
        <w:jc w:val="left"/>
      </w:pPr>
      <w:r>
        <w:t>Zur Strafanzeige: Das Verfahren (StA 188 Js 4711/26) sei eingestellt worden; er habe nie etwas Unerlaubtes getan.</w:t>
      </w:r>
    </w:p>
    <w:p/>
    <w:p>
      <w:pPr>
        <w:pStyle w:val="Heading2"/>
      </w:pPr>
      <w:r>
        <w:rPr>
          <w:rFonts w:ascii="Times New Roman" w:hAnsi="Times New Roman"/>
        </w:rPr>
        <w:t>Kernaussagen</w:t>
      </w:r>
    </w:p>
    <w:p>
      <w:pPr>
        <w:pStyle w:val="Heading3"/>
      </w:pPr>
      <w:r>
        <w:rPr>
          <w:rFonts w:ascii="Times New Roman" w:hAnsi="Times New Roman"/>
        </w:rPr>
        <w:t>Zum Werklauf (Bewehrungsarbeiten Treppenhaus)</w:t>
      </w:r>
    </w:p>
    <w:p>
      <w:pPr>
        <w:ind w:left="567"/>
      </w:pPr>
      <w:r>
        <w:rPr>
          <w:i/>
        </w:rPr>
        <w:t>"Die Bewehrungsarbeiten im Treppenhaus haben wir nach Zeichnung gemacht. Ich habe den Bewehrungsplan Revision 3 auf der Baustelle gehabt. Wir haben das Raster von 12,5 Zentimetern eingehalten, soweit ich weiß."</w:t>
      </w:r>
    </w:p>
    <w:p>
      <w:pPr>
        <w:jc w:val="left"/>
      </w:pPr>
      <w:r>
        <w:t>Auf Vorhalt des ergänzenden Gutachtens Vellbruck (Messprotokoll: Raster 20 cm in Abschnitten 2 und 3):</w:t>
      </w:r>
    </w:p>
    <w:p>
      <w:pPr>
        <w:ind w:left="567"/>
      </w:pPr>
      <w:r>
        <w:rPr>
          <w:i/>
        </w:rPr>
        <w:t>"Das kann ich mir nicht erklären. Vielleicht ist das nach meiner Aufsicht passiert, in einem späteren Abschnitt. Oder die Messung des Professors ist falsch."</w:t>
      </w:r>
    </w:p>
    <w:p>
      <w:pPr>
        <w:jc w:val="left"/>
      </w:pPr>
      <w:r>
        <w:t>Auf Nachfrage RAin Dr. Feldkötter-Haas, ob ein Subunternehmer die Bewehrung in diesen Abschnitten ausgeführt habe:</w:t>
      </w:r>
    </w:p>
    <w:p>
      <w:pPr>
        <w:ind w:left="567"/>
      </w:pPr>
      <w:r>
        <w:rPr>
          <w:i/>
        </w:rPr>
        <w:t>"Ja, für die Abschnitte 2 und 3 haben wir die Firma Betonart Sachsen GmbH als Subunternehmer eingesetzt. Ich war da nicht immer direkt dabei."</w:t>
      </w:r>
    </w:p>
    <w:p>
      <w:pPr>
        <w:jc w:val="left"/>
      </w:pPr>
      <w:r>
        <w:rPr>
          <w:b/>
        </w:rPr>
        <w:t>Anmerkung Kammer:</w:t>
      </w:r>
      <w:r>
        <w:t xml:space="preserve"> Erstmalige Erwähnung Subunternehmer — nicht im bisherigen Schriftsatz der Klägerin enthalten; wesentliche neue Tatsache.</w:t>
      </w:r>
    </w:p>
    <w:p>
      <w:pPr>
        <w:pStyle w:val="Heading3"/>
      </w:pPr>
      <w:r>
        <w:rPr>
          <w:rFonts w:ascii="Times New Roman" w:hAnsi="Times New Roman"/>
        </w:rPr>
        <w:t>Zum WU-Beton</w:t>
      </w:r>
    </w:p>
    <w:p>
      <w:pPr>
        <w:ind w:left="567"/>
      </w:pPr>
      <w:r>
        <w:rPr>
          <w:i/>
        </w:rPr>
        <w:t>"Wir haben den WU-Beton von der Betonzentrale Leipzig bezogen. Der hat die Lieferscheine mit Gütezeichen. Der w/z-Wert war korrekt laut Lieferschein."</w:t>
      </w:r>
    </w:p>
    <w:p>
      <w:pPr>
        <w:jc w:val="left"/>
      </w:pPr>
      <w:r>
        <w:t>Auf Vorhalt: Lieferscheine weisen w/z 0,48 aus (K18). Pohlmann-Gutachten stützt sich hierauf.</w:t>
      </w:r>
    </w:p>
    <w:p>
      <w:pPr>
        <w:ind w:left="567"/>
      </w:pPr>
      <w:r>
        <w:rPr>
          <w:i/>
        </w:rPr>
        <w:t>"Ich kann nicht sagen, ob nach dem Einbau noch Wasser hinzugefügt wurde. Das kommt manchmal vor, wenn der Beton zu trocken ist — aber ich habe das nicht angeordnet."</w:t>
      </w:r>
    </w:p>
    <w:p>
      <w:pPr>
        <w:jc w:val="left"/>
      </w:pPr>
      <w:r>
        <w:rPr>
          <w:b/>
        </w:rPr>
        <w:t>Anmerkung Kammer:</w:t>
      </w:r>
      <w:r>
        <w:t xml:space="preserve"> Das nachträgliche Hinzufügen von Wasser (sog. "Nachbehandlung vor Ort") wäre ein typischer Ausführungsfehler, der den w/z-Wert erhöht. Zeuge schließt es nicht aus.</w:t>
      </w:r>
    </w:p>
    <w:p>
      <w:pPr>
        <w:pStyle w:val="Heading3"/>
      </w:pPr>
      <w:r>
        <w:rPr>
          <w:rFonts w:ascii="Times New Roman" w:hAnsi="Times New Roman"/>
        </w:rPr>
        <w:t>Zur Abnahme 14.06.2023</w:t>
      </w:r>
    </w:p>
    <w:p>
      <w:pPr>
        <w:ind w:left="567"/>
      </w:pPr>
      <w:r>
        <w:rPr>
          <w:i/>
        </w:rPr>
        <w:t>"Ich war bei der Abnahme nicht dabei. Ich hatte an dem Tag Urlaub. Der Abnahmetermin wurde ohne mich durchgeführt."</w:t>
      </w:r>
    </w:p>
    <w:p/>
    <w:p>
      <w:pPr>
        <w:pStyle w:val="Heading2"/>
      </w:pPr>
      <w:r>
        <w:rPr>
          <w:rFonts w:ascii="Times New Roman" w:hAnsi="Times New Roman"/>
        </w:rPr>
        <w:t>Glaubwürdigkeitsbewertung (Kammer)</w:t>
      </w:r>
    </w:p>
    <w:p>
      <w:pPr>
        <w:jc w:val="left"/>
      </w:pPr>
      <w:r>
        <w:t>Der Zeuge machte einen nervösen Eindruck bei Nachfragen zum Bewehrungsraster. Seine Darstellung zum Subunternehmer Betonart Sachsen GmbH ist neu und hätte früher in den Prozess eingeführt werden müssen. Die Einlassung, er sei bei der Abnahme nicht anwesend gewesen, ist nicht widersprüchlich.</w:t>
      </w:r>
    </w:p>
    <w:p>
      <w:pPr>
        <w:jc w:val="left"/>
      </w:pPr>
      <w:r>
        <w:t>Die Aussage zur WU-Beton-Beschaffenheit ist teilweise glaubhaft (Lieferscheine), aber bezüglich Nachbehandlung lückenhaft.</w:t>
      </w:r>
    </w:p>
    <w:p>
      <w:pPr>
        <w:jc w:val="left"/>
      </w:pPr>
      <w:r>
        <w:t xml:space="preserve">Gesamteinschätzung: </w:t>
      </w:r>
      <w:r>
        <w:rPr>
          <w:b/>
        </w:rPr>
        <w:t>mäßige Glaubwürdigkeit</w:t>
      </w:r>
      <w:r>
        <w:t>; Kernaussagen nur eingeschränkt verwertbar.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Radarwarner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Radarwarner GmbH</w:t>
    </w:r>
  </w:p>
  <w:p>
    <w:pPr>
      <w:jc w:val="left"/>
      <w:pBdr>
        <w:bottom w:val="single" w:sz="6" w:space="2" w:color="11555F"/>
      </w:pBdr>
    </w:pPr>
    <w:r>
      <w:rPr>
        <w:rFonts w:ascii="Times New Roman" w:hAnsi="Times New Roman"/>
        <w:color w:val="6B6B66"/>
        <w:sz w:val="16"/>
      </w:rPr>
      <w:t>geb. 14.03.1969, Fichtestraße 22, 04275 Leipzig; Polier, früher beschäftigt bei Radarwarner GmbH bis 30.04.2024 · 8 O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