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Streitwertbeschluss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Rechtsgrundlage:</w:t>
      </w:r>
      <w:r>
        <w:t xml:space="preserve"> §§ 63, 45 GKG, § 3 ZPO</w:t>
      </w:r>
    </w:p>
    <w:p/>
    <w:p>
      <w:pPr>
        <w:pStyle w:val="Heading2"/>
      </w:pPr>
      <w:r>
        <w:rPr>
          <w:rFonts w:ascii="Times New Roman" w:hAnsi="Times New Roman"/>
        </w:rPr>
        <w:t>BESCHLUSS</w:t>
      </w:r>
    </w:p>
    <w:p>
      <w:pPr>
        <w:jc w:val="left"/>
      </w:pPr>
      <w:r>
        <w:t xml:space="preserve">In dem Rechtsstreit </w:t>
      </w:r>
      <w:r>
        <w:rPr>
          <w:b/>
        </w:rPr>
        <w:t>Radarwarner GmbH ./. Schreinmoor Bauträger AG</w:t>
      </w:r>
      <w:r>
        <w:t xml:space="preserve"> wird der </w:t>
      </w:r>
      <w:r>
        <w:rPr>
          <w:b/>
        </w:rPr>
        <w:t>Streitwert</w:t>
      </w:r>
      <w:r>
        <w:t xml:space="preserve"> wie folgt festgesetzt:</w:t>
      </w:r>
    </w:p>
    <w:p/>
    <w:p>
      <w:pPr>
        <w:pStyle w:val="Heading2"/>
      </w:pPr>
      <w:r>
        <w:rPr>
          <w:rFonts w:ascii="Times New Roman" w:hAnsi="Times New Roman"/>
        </w:rPr>
        <w:t>I. Hauptklage</w:t>
      </w:r>
    </w:p>
    <w:p>
      <w:pPr>
        <w:jc w:val="left"/>
      </w:pPr>
      <w:r>
        <w:t xml:space="preserve">Klageforderung restlicher Werklohn: </w:t>
      </w:r>
      <w:r>
        <w:rPr>
          <w:b/>
        </w:rPr>
        <w:t>EUR 428.180,00</w:t>
      </w:r>
    </w:p>
    <w:p>
      <w:pPr>
        <w:jc w:val="left"/>
      </w:pPr>
      <w:r>
        <w:t>Maßgeblich ist der Wert des mit der Klage geltend gemachten Anspruchs (§ 3 ZPO). Die Klageforderung ist beziffert; kein Abschlag.</w:t>
      </w:r>
    </w:p>
    <w:p/>
    <w:p>
      <w:pPr>
        <w:pStyle w:val="Heading2"/>
      </w:pPr>
      <w:r>
        <w:rPr>
          <w:rFonts w:ascii="Times New Roman" w:hAnsi="Times New Roman"/>
        </w:rPr>
        <w:t>II. Hilfsaufrechnung</w:t>
      </w:r>
    </w:p>
    <w:p>
      <w:pPr>
        <w:jc w:val="left"/>
      </w:pPr>
      <w:r>
        <w:t>Die Beklagte hat in der Klageerwiderung hilfsweise mit einem Gegenanspruch auf Mängelbeseitigungskosten in Höhe von EUR 612.500,00 aufgerechnet.</w:t>
      </w:r>
    </w:p>
    <w:p>
      <w:pPr>
        <w:jc w:val="left"/>
      </w:pPr>
      <w:r>
        <w:t>Gemäß § 45 Abs. 3 GKG erhöht eine Hilfsaufrechnung den Streitwert um den Betrag der Gegenforderung, soweit dieser den Klagewert übersteigt und über den Betrag, mit dem aufgerechnet wurde, entschieden wird.</w:t>
      </w:r>
    </w:p>
    <w:p>
      <w:pPr>
        <w:pStyle w:val="ListBullet"/>
      </w:pPr>
      <w:r>
        <w:t>Hilfsaufrechnung: EUR 612.500,00</w:t>
      </w:r>
    </w:p>
    <w:p>
      <w:pPr>
        <w:pStyle w:val="ListBullet"/>
      </w:pPr>
      <w:r>
        <w:t>Klagewert: EUR 428.180,00</w:t>
      </w:r>
    </w:p>
    <w:p>
      <w:pPr>
        <w:pStyle w:val="ListBullet"/>
      </w:pPr>
      <w:r>
        <w:t>Übersteigender Betrag: EUR 184.320,00</w:t>
      </w:r>
    </w:p>
    <w:p>
      <w:pPr>
        <w:jc w:val="left"/>
      </w:pPr>
      <w:r>
        <w:t>Streitwerterhöhung durch Hilfsaufrechnung: EUR 612.500,00 (da über den Gesamtbetrag der Gegenforderung entschieden wird, nicht nur über den überschießenden Teil — Kammer folgt weiter Auffassung).</w:t>
      </w:r>
    </w:p>
    <w:p/>
    <w:p>
      <w:pPr>
        <w:pStyle w:val="Heading2"/>
      </w:pPr>
      <w:r>
        <w:rPr>
          <w:rFonts w:ascii="Times New Roman" w:hAnsi="Times New Roman"/>
        </w:rPr>
        <w:t>III. Gesamtstreitwert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Hauptklage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428.180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Hilfsaufrechnung (§ 45 Abs. 3 GKG)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612.500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Gesamtstreitwert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1.040.680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IV. Zeitpunkt der Festsetzung</w:t>
      </w:r>
    </w:p>
    <w:p>
      <w:pPr>
        <w:jc w:val="left"/>
      </w:pPr>
      <w:r>
        <w:t>Der Streitwert wird mit Urteilsverkündung festgesetzt (§ 63 Abs. 2 GKG). Rückwirkende Festsetzung auf den Zeitpunkt des Kostenvorschuss-Eingangs (Klageeinreichung 14.01.2026) erfolgt für Gebührenzwecke.</w:t>
      </w:r>
    </w:p>
    <w:p/>
    <w:p>
      <w:pPr>
        <w:pStyle w:val="Heading2"/>
      </w:pPr>
      <w:r>
        <w:rPr>
          <w:rFonts w:ascii="Times New Roman" w:hAnsi="Times New Roman"/>
        </w:rPr>
        <w:t>V. Rechtsmittelbelehrung</w:t>
      </w:r>
    </w:p>
    <w:p>
      <w:pPr>
        <w:jc w:val="left"/>
      </w:pPr>
      <w:r>
        <w:t xml:space="preserve">Gegen diesen Beschluss findet die </w:t>
      </w:r>
      <w:r>
        <w:rPr>
          <w:b/>
        </w:rPr>
        <w:t>Beschwerde</w:t>
      </w:r>
      <w:r>
        <w:t xml:space="preserve"> nach § 68 GKG statt, wenn der Wert des Beschwerdegegenstands EUR 200,00 übersteigt. Die Beschwerde ist beim Landgericht Leipzig oder beim Oberlandesgericht Dresden einzulegen.</w:t>
      </w:r>
    </w:p>
    <w:p>
      <w:pPr>
        <w:jc w:val="left"/>
      </w:pPr>
      <w:r>
        <w:t>gez. Dr. Tannenberg-Eichmueller / Dr. Roosendaal / Wittfeldt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Rechtsstreit Radarwarner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Rechtsstreit Radarwarner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 · 8 O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