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Pitchdeck-Notizen Kognitix Flow GmbH</w:t>
      </w:r>
    </w:p>
    <w:p>
      <w:pPr>
        <w:jc w:val="left"/>
      </w:pPr>
      <w:r>
        <w:t>Das Deck ist stark im Narrativ, schwach bei Belegen. ARR wird als „committed pipeline“ dargestellt, ohne zu trennen zwischen zahlenden Kunden, Pilotkunden und bloßen LOIs. Die Gründer behaupten, ihr Modell sei mit anonymisierten Einkaufsdaten trainiert worden. Es fehlt eine saubere Datenherkunftsliste, ein DPA/AVV-Set und ein Open-Source-Verzeichnis.</w:t>
      </w:r>
    </w:p>
    <w:p>
      <w:pPr>
        <w:pStyle w:val="Heading2"/>
      </w:pPr>
      <w:r>
        <w:rPr>
          <w:rFonts w:ascii="Times New Roman" w:hAnsi="Times New Roman"/>
        </w:rPr>
        <w:t>Fragen an Founder</w:t>
      </w:r>
    </w:p>
    <w:p>
      <w:pPr>
        <w:pStyle w:val="ListNumber"/>
      </w:pPr>
      <w:r>
        <w:t>Welche Trainingsdaten wurden genutzt und auf welcher Rechtsgrundlage?</w:t>
      </w:r>
    </w:p>
    <w:p>
      <w:pPr>
        <w:pStyle w:val="ListNumber"/>
      </w:pPr>
      <w:r>
        <w:t>Welche Kunden zahlen tatsächlich?</w:t>
      </w:r>
    </w:p>
    <w:p>
      <w:pPr>
        <w:pStyle w:val="ListNumber"/>
      </w:pPr>
      <w:r>
        <w:t>Gibt es Modell-Output, der als Beschaffungsempfehlung in regulierten Branchen eingesetzt wird?</w:t>
      </w:r>
    </w:p>
    <w:p>
      <w:pPr>
        <w:pStyle w:val="ListNumber"/>
      </w:pPr>
      <w:r>
        <w:t>Wer hält die Rechte am Code des früheren Freelancers aus Krakau?</w:t>
      </w:r>
    </w:p>
    <w:p>
      <w:pPr>
        <w:pStyle w:val="ListNumber"/>
      </w:pPr>
      <w:r>
        <w:t>Warum ist das SAFE-Template aus Delaware im deutschen GmbH-Kontext sinnvoll?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Pitchdeck-Notizen Kognitix Flow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Pitchdeck-Notizen Kognitix Flow GmbH</w:t>
    </w:r>
  </w:p>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