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Fragment Series-A-Term-Sheet Greifarm Robotics GmbH</w:t>
      </w:r>
    </w:p>
    <w:p>
      <w:pPr>
        <w:pStyle w:val="ListBullet"/>
      </w:pPr>
      <w:r>
        <w:t>Pre-Money: 18 Mio. EUR</w:t>
      </w:r>
    </w:p>
    <w:p>
      <w:pPr>
        <w:pStyle w:val="ListBullet"/>
      </w:pPr>
      <w:r>
        <w:t>Runde: 6 Mio. EUR</w:t>
      </w:r>
    </w:p>
    <w:p>
      <w:pPr>
        <w:pStyle w:val="ListBullet"/>
      </w:pPr>
      <w:r>
        <w:t>Lead: Nordstern Industrial Ventures</w:t>
      </w:r>
    </w:p>
    <w:p>
      <w:pPr>
        <w:pStyle w:val="ListBullet"/>
      </w:pPr>
      <w:r>
        <w:t>Nebelstern Ticket: 1,2 Mio. EUR</w:t>
      </w:r>
    </w:p>
    <w:p>
      <w:pPr>
        <w:pStyle w:val="ListBullet"/>
      </w:pPr>
      <w:r>
        <w:t>Liquidation Preference: 1x non-participating, senior to common</w:t>
      </w:r>
    </w:p>
    <w:p>
      <w:pPr>
        <w:pStyle w:val="ListBullet"/>
      </w:pPr>
      <w:r>
        <w:t>Anti-Dilution: broad-based weighted average</w:t>
      </w:r>
    </w:p>
    <w:p>
      <w:pPr>
        <w:pStyle w:val="ListBullet"/>
      </w:pPr>
      <w:r>
        <w:t>Board: 1 Investor Observer für Nebelstern, 1 Investor Director für Lead</w:t>
      </w:r>
    </w:p>
    <w:p>
      <w:pPr>
        <w:pStyle w:val="ListBullet"/>
      </w:pPr>
      <w:r>
        <w:t>Reserved Matters: Budget, Debt &gt; 250.000 EUR, IP-Verkauf, M&amp;A, Geschäftsführerwechsel, Related Party</w:t>
      </w:r>
    </w:p>
    <w:p>
      <w:pPr>
        <w:pStyle w:val="ListBullet"/>
      </w:pPr>
      <w:r>
        <w:t>Closing: Notar Berlin, Kapitalerhöhung, neue Satzung, Gesellschafterliste</w:t>
      </w:r>
    </w:p>
    <w:p>
      <w:pPr>
        <w:pStyle w:val="Heading2"/>
      </w:pPr>
      <w:r>
        <w:rPr>
          <w:rFonts w:ascii="Times New Roman" w:hAnsi="Times New Roman"/>
        </w:rPr>
        <w:t>Auffälligkeiten</w:t>
      </w:r>
    </w:p>
    <w:p>
      <w:pPr>
        <w:jc w:val="left"/>
      </w:pPr>
      <w:r>
        <w:t>Die Gesellschaft verkauft Greifarme auch an Logistikunternehmen mit militärnahen Tochtergesellschaften. Der Term-Sheet-Entwurf erwähnt Exportkontrolle nicht. Außerdem sind zwei Kernpatentanmeldungen noch im Namen des CTO vorbereitet, aber nicht sauber übertragen.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Fragment Series-A-Term-Sheet Greifarm Robotics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Fragment Series-A-Term-Sheet Greifarm Robotics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