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KYC, AML und Sanktionen — Greifarm Series A Closing</w:t>
      </w:r>
    </w:p>
    <w:p>
      <w:pPr>
        <w:jc w:val="left"/>
      </w:pPr>
      <w:r>
        <w:rPr>
          <w:b/>
        </w:rPr>
        <w:t>Bearbeiter:</w:t>
      </w:r>
      <w:r>
        <w:t xml:space="preserve"> Compliance Nebelstern (Frau Okonkwo)</w:t>
      </w:r>
    </w:p>
    <w:p>
      <w:pPr>
        <w:jc w:val="left"/>
      </w:pPr>
      <w:r>
        <w:rPr>
          <w:b/>
        </w:rPr>
        <w:t>Stand:</w:t>
      </w:r>
      <w:r>
        <w:t xml:space="preserve"> 04.06.2026, T-10 vor geplantem Signing</w:t>
      </w:r>
    </w:p>
    <w:p>
      <w:pPr>
        <w:pStyle w:val="Heading2"/>
      </w:pPr>
      <w:r>
        <w:rPr>
          <w:rFonts w:ascii="Times New Roman" w:hAnsi="Times New Roman"/>
        </w:rPr>
        <w:t>Befund je Zeichner</w:t>
      </w:r>
    </w:p>
    <w:p>
      <w:pPr>
        <w:pStyle w:val="Heading3"/>
      </w:pPr>
      <w:r>
        <w:rPr>
          <w:rFonts w:ascii="Times New Roman" w:hAnsi="Times New Roman"/>
        </w:rPr>
        <w:t>1. Helvetia Industrial Holding AG (Co-Investor, CHF 1,2 Mio. Ticket)</w:t>
      </w:r>
    </w:p>
    <w:p>
      <w:pPr>
        <w:jc w:val="left"/>
      </w:pPr>
      <w:r>
        <w:t xml:space="preserve">Schweizer Holding mit </w:t>
      </w:r>
      <w:r>
        <w:rPr>
          <w:b/>
        </w:rPr>
        <w:t>zypriotischer Zwischenebene</w:t>
      </w:r>
      <w:r>
        <w:t xml:space="preserve"> (Limassol-HoldCo, 100 %). UBO-Angaben unvollständig: Das Schweizer Aktionärsregister nennt zwei natürliche Personen (je 35 %) und eine liechtensteinische Stiftung (30 %) — </w:t>
      </w:r>
      <w:r>
        <w:rPr>
          <w:b/>
        </w:rPr>
        <w:t>für die Stiftung fehlen Stifter, Begünstigte und Protektor</w:t>
      </w:r>
      <w:r>
        <w:t xml:space="preserve">. Nach </w:t>
      </w:r>
      <w:r>
        <w:rPr>
          <w:b/>
        </w:rPr>
        <w:t>§ 11 Abs. 5 GwG</w:t>
      </w:r>
      <w:r>
        <w:t xml:space="preserve"> ist der wirtschaftlich Berechtigte vor Begründung der Geschäftsbeziehung zu identifizieren; bei Stiftungen gelten die Kriterien des </w:t>
      </w:r>
      <w:r>
        <w:rPr>
          <w:b/>
        </w:rPr>
        <w:t>§ 3 Abs. 3 GwG</w:t>
      </w:r>
      <w:r>
        <w:t xml:space="preserve"> (Stifter, Vorstand, Begünstigte ab 25 %, sonst Kontrollausübende).</w:t>
      </w:r>
    </w:p>
    <w:p>
      <w:pPr>
        <w:jc w:val="left"/>
      </w:pPr>
      <w:r>
        <w:rPr>
          <w:b/>
        </w:rPr>
        <w:t>Maßnahmen:</w:t>
      </w:r>
      <w:r>
        <w:t xml:space="preserve"> Anforderung Stiftungsstatut + Beistatut, Transparenzregister-Auszüge (DE-Register für die Beteiligung, zyprisches UBO-Register, liechtensteinisches VwbP-Register), Erklärung zur Mittelherkunft (Source of Funds UND Source of Wealth — die Differenz erklären lassen). Bis dahin: </w:t>
      </w:r>
      <w:r>
        <w:rPr>
          <w:b/>
        </w:rPr>
        <w:t>Zeichnung der Helvetia wird nicht angenommen</w:t>
      </w:r>
      <w:r>
        <w:t>; Closing-Struktur sieht Nachzeichnungsfenster von 15 Tagen vor (Term Sheet Ziff. 12), das reicht.</w:t>
      </w:r>
    </w:p>
    <w:p>
      <w:pPr>
        <w:pStyle w:val="Heading3"/>
      </w:pPr>
      <w:r>
        <w:rPr>
          <w:rFonts w:ascii="Times New Roman" w:hAnsi="Times New Roman"/>
        </w:rPr>
        <w:t>2. Angel-Investor R. T. (EUR 150.000)</w:t>
      </w:r>
    </w:p>
    <w:p>
      <w:pPr>
        <w:jc w:val="left"/>
      </w:pPr>
      <w:r>
        <w:t xml:space="preserve">Möchte über eine </w:t>
      </w:r>
      <w:r>
        <w:rPr>
          <w:b/>
        </w:rPr>
        <w:t>Krypto-Wallet zahlen</w:t>
      </w:r>
      <w:r>
        <w:t xml:space="preserve"> ("USDC, geht schneller"). </w:t>
      </w:r>
      <w:r>
        <w:rPr>
          <w:b/>
        </w:rPr>
        <w:t>Abgelehnt.</w:t>
      </w:r>
      <w:r>
        <w:t xml:space="preserve"> Begründung dokumentiert: Mittelherkunftsnachweis bei On-Chain-Zahlung ohne regulierten Intermediär nicht GwG-konform führbar; Nebelstern akzeptiert ausschließlich SEPA/SWIFT von einem auf den Zeichner lautenden Konto bei einem EU-/EWR-/CH-Institut (interne Richtlinie KYC-04). Alternative angeboten: Auszahlung der Wallet über regulierten Anbieter auf sein DE-Konto, dann Überweisung mit Verwendungszweck. R. T. prüft.</w:t>
      </w:r>
    </w:p>
    <w:p>
      <w:pPr>
        <w:pStyle w:val="Heading3"/>
      </w:pPr>
      <w:r>
        <w:rPr>
          <w:rFonts w:ascii="Times New Roman" w:hAnsi="Times New Roman"/>
        </w:rPr>
        <w:t>3. Bestandsinvestoren (Roll-over)</w:t>
      </w:r>
    </w:p>
    <w:p>
      <w:pPr>
        <w:jc w:val="left"/>
      </w:pPr>
      <w:r>
        <w:t>Screening-Refresh genügt (letzte Vollprüfung &lt; 24 Monate): PEP- und Sanktionslisten-Screening gegen EU-Konsolidierte Liste, UN, OFAC SDN, UK HMT — Tool-Lauf vom 03.06.2026 ohne Treffer; Doku im Compliance-Ordner.</w:t>
      </w:r>
    </w:p>
    <w:p>
      <w:pPr>
        <w:pStyle w:val="Heading2"/>
      </w:pPr>
      <w:r>
        <w:rPr>
          <w:rFonts w:ascii="Times New Roman" w:hAnsi="Times New Roman"/>
        </w:rPr>
        <w:t>Sanktionsrechtlicher Sonderpunkt</w:t>
      </w:r>
    </w:p>
    <w:p>
      <w:pPr>
        <w:jc w:val="left"/>
      </w:pPr>
      <w:r>
        <w:t>Die zypriotische Zwischenebene und ein im Datenraum aufgetauchter Alt-Vertriebsvertrag der Greifarm mit einem Distributor in Belarus (2021, ruhend) erfordern Negativbestätigung: keine gelisteten Personen in der Kette (VO (EU) 269/2014, 765/2006), keine fortlaufenden Leistungsbeziehungen nach Belarus. Geschäftsführung der Greifarm gibt schriftliche Sanktions-Compliance-Erklärung als Closing Condition ab (in die CP-Liste der Closing Agenda, Aktenstück 24, aufgenommen).</w:t>
      </w:r>
    </w:p>
    <w:p>
      <w:pPr>
        <w:pStyle w:val="Heading2"/>
      </w:pPr>
      <w:r>
        <w:rPr>
          <w:rFonts w:ascii="Times New Roman" w:hAnsi="Times New Roman"/>
        </w:rPr>
        <w:t>Konsequenz für den Zeitplan</w:t>
      </w:r>
    </w:p>
    <w:p>
      <w:pPr>
        <w:jc w:val="left"/>
      </w:pPr>
      <w:r>
        <w:t xml:space="preserve">Signing kann zum geplanten Termin erfolgen; </w:t>
      </w:r>
      <w:r>
        <w:rPr>
          <w:b/>
        </w:rPr>
        <w:t>Helvetia wird aus dem First Closing herausgelöst</w:t>
      </w:r>
      <w:r>
        <w:t xml:space="preserve"> und zeichnet — vollständige UBO-Doku vorausgesetzt — im Second Closing. Wenn die Stiftungsunterlagen bis T+15 nicht vorliegen, verfällt ihr Allokationsanspruch (so ausdrücklich ins Signing-Protokoll).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Helvetia Industrial Holding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Helvetia Industrial Holding AG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CHF 1, 2 Mio. Ticket)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