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Rechtsprechungskanon BVerfG — Versammlungsfreiheit</w:t>
      </w:r>
    </w:p>
    <w:p>
      <w:pPr>
        <w:jc w:val="left"/>
      </w:pPr>
      <w:r>
        <w:rPr>
          <w:b/>
        </w:rPr>
        <w:t>Zusammenstellung:</w:t>
      </w:r>
      <w:r>
        <w:t xml:space="preserve"> RA Dr. Roosendaal-Eichmueller / Prof. Dr. Birkenhain</w:t>
      </w:r>
    </w:p>
    <w:p>
      <w:pPr>
        <w:jc w:val="left"/>
      </w:pPr>
      <w:r>
        <w:rPr>
          <w:b/>
        </w:rPr>
        <w:t>Stand: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BVerfGE 69, 315 — „Bruesen" (14.10.1985)</w:t>
      </w:r>
    </w:p>
    <w:p>
      <w:pPr>
        <w:jc w:val="left"/>
      </w:pPr>
      <w:r>
        <w:rPr>
          <w:b/>
        </w:rPr>
        <w:t>Aktenzeichen:</w:t>
      </w:r>
      <w:r>
        <w:t xml:space="preserve"> 1 BvR 335/83</w:t>
      </w:r>
    </w:p>
    <w:p>
      <w:pPr>
        <w:jc w:val="left"/>
      </w:pPr>
      <w:r>
        <w:rPr>
          <w:b/>
        </w:rPr>
        <w:t>Fundstelle:</w:t>
      </w:r>
      <w:r>
        <w:t xml:space="preserve"> BVerfGE 69, 315</w:t>
      </w:r>
    </w:p>
    <w:p>
      <w:pPr>
        <w:jc w:val="left"/>
      </w:pPr>
      <w:r>
        <w:rPr>
          <w:b/>
        </w:rPr>
        <w:t>Quelle:</w:t>
      </w:r>
      <w:r>
        <w:t xml:space="preserve"> bundesverfassungsgericht.de</w:t>
      </w:r>
    </w:p>
    <w:p>
      <w:pPr>
        <w:jc w:val="left"/>
      </w:pPr>
      <w:r>
        <w:rPr>
          <w:b/>
        </w:rPr>
        <w:t>Leitsaetze (Auswahl):</w:t>
      </w:r>
    </w:p>
    <w:p>
      <w:pPr>
        <w:pStyle w:val="ListBullet"/>
      </w:pPr>
      <w:r>
        <w:t>Die Versammlungsfreiheit ist für eine freiheitlich demokratische Staatsordnung konstituierend; sie erweist sich als unverzichtbares Funktionselement des demokratischen Gemeinwesens.</w:t>
      </w:r>
    </w:p>
    <w:p>
      <w:pPr>
        <w:pStyle w:val="ListBullet"/>
      </w:pPr>
      <w:r>
        <w:t>Der Begriff der Versammlung umfasst alle Zusammenkünfte, bei denen die Besucher durch eigene kommunikative Beteiligung oder als Adressaten öffentlicher Meinungsaeusserungen an der offentlichen Meinungsbildung teilhaben.</w:t>
      </w:r>
    </w:p>
    <w:p>
      <w:pPr>
        <w:pStyle w:val="ListBullet"/>
      </w:pPr>
      <w:r>
        <w:t>Versammlungen können sich in unterschiedlichsten Aktionsformen aeussern — auch in Formen des unmittelbaren Protests.</w:t>
      </w:r>
    </w:p>
    <w:p>
      <w:pPr>
        <w:jc w:val="left"/>
      </w:pPr>
      <w:r>
        <w:rPr>
          <w:b/>
        </w:rPr>
        <w:t>Tragende Randnummern (juris):</w:t>
      </w:r>
      <w:r>
        <w:t xml:space="preserve"> Rn. 64 (Konstitutivfunktion Versammlungsfreiheit), Rn. 67-71 (Versammlungsbegriff), Rn. 78 ff. (Verhaeltnismaessigkeit).</w:t>
      </w:r>
    </w:p>
    <w:p>
      <w:pPr>
        <w:jc w:val="left"/>
      </w:pPr>
      <w:r>
        <w:rPr>
          <w:b/>
        </w:rPr>
        <w:t>Relevanz Klimacamp:</w:t>
      </w:r>
      <w:r>
        <w:t xml:space="preserve"> Grundlegendes Verständnis der Versammlungsfreiheit als demokratisches Korrektiv. Der weite Versammlungsbegriff erfasst auch Dauerprotestcamps.</w:t>
      </w:r>
    </w:p>
    <w:p/>
    <w:p>
      <w:pPr>
        <w:pStyle w:val="Heading2"/>
      </w:pPr>
      <w:r>
        <w:rPr>
          <w:rFonts w:ascii="Times New Roman" w:hAnsi="Times New Roman"/>
        </w:rPr>
        <w:t>2. BVerfGE 87, 399 — „Sitzblockade I" (10.01.1995)</w:t>
      </w:r>
    </w:p>
    <w:p>
      <w:pPr>
        <w:jc w:val="left"/>
      </w:pPr>
      <w:r>
        <w:rPr>
          <w:b/>
        </w:rPr>
        <w:t>Aktenzeichen:</w:t>
      </w:r>
      <w:r>
        <w:t xml:space="preserve"> 1 BvR 1239/92</w:t>
      </w:r>
    </w:p>
    <w:p>
      <w:pPr>
        <w:jc w:val="left"/>
      </w:pPr>
      <w:r>
        <w:rPr>
          <w:b/>
        </w:rPr>
        <w:t>Fundstelle:</w:t>
      </w:r>
      <w:r>
        <w:t xml:space="preserve"> BVerfGE 87, 399</w:t>
      </w:r>
    </w:p>
    <w:p>
      <w:pPr>
        <w:jc w:val="left"/>
      </w:pPr>
      <w:r>
        <w:rPr>
          <w:b/>
        </w:rPr>
        <w:t>Quelle:</w:t>
      </w:r>
      <w:r>
        <w:t xml:space="preserve"> dejure.org</w:t>
      </w:r>
    </w:p>
    <w:p>
      <w:pPr>
        <w:jc w:val="left"/>
      </w:pPr>
      <w:r>
        <w:rPr>
          <w:b/>
        </w:rPr>
        <w:t>Leitsaetze (Auswahl):</w:t>
      </w:r>
    </w:p>
    <w:p>
      <w:pPr>
        <w:pStyle w:val="ListBullet"/>
      </w:pPr>
      <w:r>
        <w:t>Sitzblockaden sind als Versammlung i.S.d. Art. 8 I GG schutzwürdig, solange der kommunikative Aspekt gegenüber dem blockierenden Aspekt überwiegt.</w:t>
      </w:r>
    </w:p>
    <w:p>
      <w:pPr>
        <w:pStyle w:val="ListBullet"/>
      </w:pPr>
      <w:r>
        <w:t>Der Schutz des Art. 8 GG erstreckt sich auf Formen des unmittelbaren Protests auch dann, wenn diese mit gewissen Behinderungen verbunden sind.</w:t>
      </w:r>
    </w:p>
    <w:p>
      <w:pPr>
        <w:jc w:val="left"/>
      </w:pPr>
      <w:r>
        <w:rPr>
          <w:b/>
        </w:rPr>
        <w:t>Relevanz Klimacamp:</w:t>
      </w:r>
      <w:r>
        <w:t xml:space="preserve"> Bestätigt, dass auch „behinderungsintensive" Protestformen grundrechtlich schutzwürdig bleiben, solange die Kommunikationsfunktion erhalten bleibt.</w:t>
      </w:r>
    </w:p>
    <w:p/>
    <w:p>
      <w:pPr>
        <w:pStyle w:val="Heading2"/>
      </w:pPr>
      <w:r>
        <w:rPr>
          <w:rFonts w:ascii="Times New Roman" w:hAnsi="Times New Roman"/>
        </w:rPr>
        <w:t>3. BVerfGE 92, 1 — „Sitzblockade II" (10.01.1995)</w:t>
      </w:r>
    </w:p>
    <w:p>
      <w:pPr>
        <w:jc w:val="left"/>
      </w:pPr>
      <w:r>
        <w:rPr>
          <w:b/>
        </w:rPr>
        <w:t>Aktenzeichen:</w:t>
      </w:r>
      <w:r>
        <w:t xml:space="preserve"> 1 BvR 1797/92</w:t>
      </w:r>
    </w:p>
    <w:p>
      <w:pPr>
        <w:jc w:val="left"/>
      </w:pPr>
      <w:r>
        <w:rPr>
          <w:b/>
        </w:rPr>
        <w:t>Fundstelle:</w:t>
      </w:r>
      <w:r>
        <w:t xml:space="preserve"> BVerfGE 92, 1</w:t>
      </w:r>
    </w:p>
    <w:p>
      <w:pPr>
        <w:jc w:val="left"/>
      </w:pPr>
      <w:r>
        <w:rPr>
          <w:b/>
        </w:rPr>
        <w:t>Quelle:</w:t>
      </w:r>
      <w:r>
        <w:t xml:space="preserve"> dejure.org</w:t>
      </w:r>
    </w:p>
    <w:p>
      <w:pPr>
        <w:jc w:val="left"/>
      </w:pPr>
      <w:r>
        <w:rPr>
          <w:b/>
        </w:rPr>
        <w:t>Leitsaetze (Auswahl):</w:t>
      </w:r>
    </w:p>
    <w:p>
      <w:pPr>
        <w:pStyle w:val="ListBullet"/>
      </w:pPr>
      <w:r>
        <w:t>Konkretisierung der Sitzblockaden-Rechtsprechung hinsichtlich der strafrechtlichen Bewertung (§ 240 StGB — Nötigung).</w:t>
      </w:r>
    </w:p>
    <w:p>
      <w:pPr>
        <w:pStyle w:val="ListBullet"/>
      </w:pPr>
      <w:r>
        <w:t>Der Einsatz physischer Mittel zur Willensbeugung (Gewalt im strafrechtlichen Sinne) verliert den Schutz des Art. 8 GG.</w:t>
      </w:r>
    </w:p>
    <w:p>
      <w:pPr>
        <w:jc w:val="left"/>
      </w:pPr>
      <w:r>
        <w:rPr>
          <w:b/>
        </w:rPr>
        <w:t>Relevanz Klimacamp:</w:t>
      </w:r>
      <w:r>
        <w:t xml:space="preserve"> Abgrenzung friedlicher Protest (schutzwürdig) von körperlichem Zwang (nicht schutzwürdig). Das Klimacamp plant keine körperlichen Zwangsmassnahmen.</w:t>
      </w:r>
    </w:p>
    <w:p/>
    <w:p>
      <w:pPr>
        <w:pStyle w:val="Heading2"/>
      </w:pPr>
      <w:r>
        <w:rPr>
          <w:rFonts w:ascii="Times New Roman" w:hAnsi="Times New Roman"/>
        </w:rPr>
        <w:t>4. BVerfG, 1 BvR 388/05 — „Heiligendamm" (06.06.2007)</w:t>
      </w:r>
    </w:p>
    <w:p>
      <w:pPr>
        <w:jc w:val="left"/>
      </w:pPr>
      <w:r>
        <w:rPr>
          <w:b/>
        </w:rPr>
        <w:t>Aktenzeichen:</w:t>
      </w:r>
      <w:r>
        <w:t xml:space="preserve"> 1 BvR 388/05</w:t>
      </w:r>
    </w:p>
    <w:p>
      <w:pPr>
        <w:jc w:val="left"/>
      </w:pPr>
      <w:r>
        <w:rPr>
          <w:b/>
        </w:rPr>
        <w:t>Datum:</w:t>
      </w:r>
      <w:r>
        <w:t xml:space="preserve"> 06.06.2007</w:t>
      </w:r>
    </w:p>
    <w:p>
      <w:pPr>
        <w:jc w:val="left"/>
      </w:pPr>
      <w:r>
        <w:rPr>
          <w:b/>
        </w:rPr>
        <w:t>Quelle:</w:t>
      </w:r>
      <w:r>
        <w:t xml:space="preserve"> openjur.de</w:t>
      </w:r>
    </w:p>
    <w:p>
      <w:pPr>
        <w:jc w:val="left"/>
      </w:pPr>
      <w:r>
        <w:rPr>
          <w:b/>
        </w:rPr>
        <w:t>Leitsaetze / Kernaaussagen:</w:t>
      </w:r>
    </w:p>
    <w:p>
      <w:pPr>
        <w:pStyle w:val="ListBullet"/>
      </w:pPr>
      <w:r>
        <w:t>Weitraeumige Versammlungsverbote rund um Grossereignisse (G8-Gipfel Heiligendamm) beduarfen einer besonders sorgfältigen Verhaeltnismaessigkeitspruefung.</w:t>
      </w:r>
    </w:p>
    <w:p>
      <w:pPr>
        <w:pStyle w:val="ListBullet"/>
      </w:pPr>
      <w:r>
        <w:t>Eine polizeiliche Gefahrenprognose, die ein pauschales Verbot stützt, muss auf konkreten Tatsachen beruhen.</w:t>
      </w:r>
    </w:p>
    <w:p>
      <w:pPr>
        <w:pStyle w:val="ListBullet"/>
      </w:pPr>
      <w:r>
        <w:t>Die Versammlungsbehörde darf nicht allein auf abstrakte Sicherheitsbedenken verweisen.</w:t>
      </w:r>
    </w:p>
    <w:p>
      <w:pPr>
        <w:jc w:val="left"/>
      </w:pPr>
      <w:r>
        <w:rPr>
          <w:b/>
        </w:rPr>
        <w:t>Relevanz Klimacamp:</w:t>
      </w:r>
      <w:r>
        <w:t xml:space="preserve"> Direkte Parallele: Auch hier wird das Verbot auf abstrakte Begründungen gestützt ohne konkrete Tatsachengrundlage. Der „Heiligendamm"-Massstab gilt unmittelbar.</w:t>
      </w:r>
    </w:p>
    <w:p/>
    <w:p>
      <w:pPr>
        <w:pStyle w:val="Heading2"/>
      </w:pPr>
      <w:r>
        <w:rPr>
          <w:rFonts w:ascii="Times New Roman" w:hAnsi="Times New Roman"/>
        </w:rPr>
        <w:t>5. BVerfG, 1 BvR 1690/15 — „Anti-AKW-Protest" (26.03.2015)</w:t>
      </w:r>
    </w:p>
    <w:p>
      <w:pPr>
        <w:jc w:val="left"/>
      </w:pPr>
      <w:r>
        <w:rPr>
          <w:b/>
        </w:rPr>
        <w:t>Aktenzeichen:</w:t>
      </w:r>
      <w:r>
        <w:t xml:space="preserve"> 1 BvR 1690/15</w:t>
      </w:r>
    </w:p>
    <w:p>
      <w:pPr>
        <w:jc w:val="left"/>
      </w:pPr>
      <w:r>
        <w:rPr>
          <w:b/>
        </w:rPr>
        <w:t>Datum:</w:t>
      </w:r>
      <w:r>
        <w:t xml:space="preserve"> 26.03.2015 (Beschluss)</w:t>
      </w:r>
    </w:p>
    <w:p>
      <w:pPr>
        <w:jc w:val="left"/>
      </w:pPr>
      <w:r>
        <w:rPr>
          <w:b/>
        </w:rPr>
        <w:t>Quelle:</w:t>
      </w:r>
      <w:r>
        <w:t xml:space="preserve"> bundesverfassungsgericht.de</w:t>
      </w:r>
    </w:p>
    <w:p>
      <w:pPr>
        <w:jc w:val="left"/>
      </w:pPr>
      <w:r>
        <w:rPr>
          <w:b/>
        </w:rPr>
        <w:t>Kernaaussagen:</w:t>
      </w:r>
    </w:p>
    <w:p>
      <w:pPr>
        <w:pStyle w:val="ListBullet"/>
      </w:pPr>
      <w:r>
        <w:t>Versammlungsverbote im Umfeld von Einrichtungen von oeffentlichem Interesse (Atomkraftwerke, Parlamentsgebaeude) sind am strengen Massstab der Verhaeltnismaessigkeit zu messen.</w:t>
      </w:r>
    </w:p>
    <w:p>
      <w:pPr>
        <w:pStyle w:val="ListBullet"/>
      </w:pPr>
      <w:r>
        <w:t>Abstrakte Gefahrenprognosen ohne individuelle Tatsachengrundlage genügen nicht.</w:t>
      </w:r>
    </w:p>
    <w:p>
      <w:pPr>
        <w:pStyle w:val="ListBullet"/>
      </w:pPr>
      <w:r>
        <w:t>Auflagen sind gegenüber einem Totalverbot stets vorzuziehen, sofern sie den legitimen Schutzzweck erreichbar machen.</w:t>
      </w:r>
    </w:p>
    <w:p>
      <w:pPr>
        <w:jc w:val="left"/>
      </w:pPr>
      <w:r>
        <w:rPr>
          <w:b/>
        </w:rPr>
        <w:t>Relevanz Klimacamp:</w:t>
      </w:r>
      <w:r>
        <w:t xml:space="preserve"> Mildere Mittel (Auflagen) gehen Totalverbot vor. Massstab gilt unmittelbar für das Klimacamp-Verbot.</w:t>
      </w:r>
    </w:p>
    <w:p/>
    <w:p>
      <w:pPr>
        <w:pStyle w:val="Heading2"/>
      </w:pPr>
      <w:r>
        <w:rPr>
          <w:rFonts w:ascii="Times New Roman" w:hAnsi="Times New Roman"/>
        </w:rPr>
        <w:t>6. BVerfGE 104, 92 — „Bannmeile Bundestag" (22.01.2002)</w:t>
      </w:r>
    </w:p>
    <w:p>
      <w:pPr>
        <w:jc w:val="left"/>
      </w:pPr>
      <w:r>
        <w:rPr>
          <w:b/>
        </w:rPr>
        <w:t>Aktenzeichen:</w:t>
      </w:r>
      <w:r>
        <w:t xml:space="preserve"> 1 BvR 929/89 u.a.</w:t>
      </w:r>
    </w:p>
    <w:p>
      <w:pPr>
        <w:jc w:val="left"/>
      </w:pPr>
      <w:r>
        <w:rPr>
          <w:b/>
        </w:rPr>
        <w:t>Fundstelle:</w:t>
      </w:r>
      <w:r>
        <w:t xml:space="preserve"> BVerfGE 104, 92</w:t>
      </w:r>
    </w:p>
    <w:p>
      <w:pPr>
        <w:jc w:val="left"/>
      </w:pPr>
      <w:r>
        <w:rPr>
          <w:b/>
        </w:rPr>
        <w:t>Quelle:</w:t>
      </w:r>
      <w:r>
        <w:t xml:space="preserve"> bundesverfassungsgericht.de</w:t>
      </w:r>
    </w:p>
    <w:p>
      <w:pPr>
        <w:jc w:val="left"/>
      </w:pPr>
      <w:r>
        <w:rPr>
          <w:b/>
        </w:rPr>
        <w:t>Leitsaetze (Auswahl):</w:t>
      </w:r>
    </w:p>
    <w:p>
      <w:pPr>
        <w:pStyle w:val="ListBullet"/>
      </w:pPr>
      <w:r>
        <w:t>Bannmeilengesetze sind am Massstab des Art. 8 II GG zu messen; sie sind nur verfassungskonform, wenn sie hinreichend bestimmt sind und eine konkrete — nicht bloss abstrakte — Beeinträchtigung parlamentarischer Arbeit voraussetzen.</w:t>
      </w:r>
    </w:p>
    <w:p>
      <w:pPr>
        <w:pStyle w:val="ListBullet"/>
      </w:pPr>
      <w:r>
        <w:t>Ein generelles Verbot aller Versammlungen in einer Bannmeile wäre mit Art. 8 GG unvereinbar.</w:t>
      </w:r>
    </w:p>
    <w:p>
      <w:pPr>
        <w:pStyle w:val="ListBullet"/>
      </w:pPr>
      <w:r>
        <w:t>Die Norm muss eine einzelfallbezogene Abwägung ermöglichen.</w:t>
      </w:r>
    </w:p>
    <w:p>
      <w:pPr>
        <w:jc w:val="left"/>
      </w:pPr>
      <w:r>
        <w:rPr>
          <w:b/>
        </w:rPr>
        <w:t>Relevanz Klimacamp:</w:t>
      </w:r>
      <w:r>
        <w:t xml:space="preserve"> § 16 SaarlVersG als Bannmeilenregelung muss im Einklang mit diesem Urteil ausgelegt werden; die Behörde hat dies versäumt.</w:t>
      </w:r>
    </w:p>
    <w:p/>
    <w:p>
      <w:pPr>
        <w:pStyle w:val="Heading2"/>
      </w:pPr>
      <w:r>
        <w:rPr>
          <w:rFonts w:ascii="Times New Roman" w:hAnsi="Times New Roman"/>
        </w:rPr>
        <w:t>7. BVerfG, Beschl. v. 03.03.2004 — 1 BvR 461/03</w:t>
      </w:r>
    </w:p>
    <w:p>
      <w:pPr>
        <w:jc w:val="left"/>
      </w:pPr>
      <w:r>
        <w:rPr>
          <w:b/>
        </w:rPr>
        <w:t>Aktenzeichen:</w:t>
      </w:r>
      <w:r>
        <w:t xml:space="preserve"> 1 BvR 461/03</w:t>
      </w:r>
    </w:p>
    <w:p>
      <w:pPr>
        <w:jc w:val="left"/>
      </w:pPr>
      <w:r>
        <w:rPr>
          <w:b/>
        </w:rPr>
        <w:t>Datum:</w:t>
      </w:r>
      <w:r>
        <w:t xml:space="preserve"> 03.03.2004</w:t>
      </w:r>
    </w:p>
    <w:p>
      <w:pPr>
        <w:jc w:val="left"/>
      </w:pPr>
      <w:r>
        <w:rPr>
          <w:b/>
        </w:rPr>
        <w:t>Fundstelle:</w:t>
      </w:r>
      <w:r>
        <w:t xml:space="preserve"> NJW 2004, 2079</w:t>
      </w:r>
    </w:p>
    <w:p>
      <w:pPr>
        <w:jc w:val="left"/>
      </w:pPr>
      <w:r>
        <w:rPr>
          <w:b/>
        </w:rPr>
        <w:t>Quelle:</w:t>
      </w:r>
      <w:r>
        <w:t xml:space="preserve"> dejure.org</w:t>
      </w:r>
    </w:p>
    <w:p>
      <w:pPr>
        <w:jc w:val="left"/>
      </w:pPr>
      <w:r>
        <w:rPr>
          <w:b/>
        </w:rPr>
        <w:t>Kernaaussagen:</w:t>
      </w:r>
    </w:p>
    <w:p>
      <w:pPr>
        <w:pStyle w:val="ListBullet"/>
      </w:pPr>
      <w:r>
        <w:t>Das Rechtsschutzinteresse an der Feststellung der Rechtswidrigkeit eines erledigten Versammlungsverbots bleibt erhalten (sog. Wiederholungsgefahr, Rehabilitierungsinteresse).</w:t>
      </w:r>
    </w:p>
    <w:p>
      <w:pPr>
        <w:pStyle w:val="ListBullet"/>
      </w:pPr>
      <w:r>
        <w:t>Art. 19 IV GG gebietet effektiven Rechtsschutz auch für kurzzeitige Verbote, deren Erledigung unvermeidlich ist.</w:t>
      </w:r>
    </w:p>
    <w:p>
      <w:pPr>
        <w:jc w:val="left"/>
      </w:pPr>
      <w:r>
        <w:rPr>
          <w:b/>
        </w:rPr>
        <w:t>Relevanz Klimacamp:</w:t>
      </w:r>
      <w:r>
        <w:t xml:space="preserve"> Das Rechtsschutzinteresse der BF bleibt auch nach Ende des geplanten Campzeitraums erhalten. Das OVG hat dies verkannt.</w:t>
      </w:r>
    </w:p>
    <w:p/>
    <w:p>
      <w:pPr>
        <w:pStyle w:val="Heading2"/>
      </w:pPr>
      <w:r>
        <w:rPr>
          <w:rFonts w:ascii="Times New Roman" w:hAnsi="Times New Roman"/>
        </w:rPr>
        <w:t>Zusammenfassende Argumentationskette</w:t>
      </w:r>
    </w:p>
    <w:p>
      <w:pPr>
        <w:jc w:val="left"/>
      </w:pPr>
      <w:r>
        <w:t>```</w:t>
      </w:r>
    </w:p>
    <w:p>
      <w:pPr>
        <w:jc w:val="left"/>
      </w:pPr>
      <w:r>
        <w:t>Art. 8 I GG (Schutzbereich weit: BVerfGE 69,315)</w:t>
      </w:r>
    </w:p>
    <w:p>
      <w:pPr>
        <w:jc w:val="left"/>
      </w:pPr>
      <w:r>
        <w:t>↓</w:t>
      </w:r>
    </w:p>
    <w:p>
      <w:pPr>
        <w:jc w:val="left"/>
      </w:pPr>
      <w:r>
        <w:t>Dauercamp = Versammlung (Bruesen, Anti-AKW)</w:t>
      </w:r>
    </w:p>
    <w:p>
      <w:pPr>
        <w:jc w:val="left"/>
      </w:pPr>
      <w:r>
        <w:t>↓</w:t>
      </w:r>
    </w:p>
    <w:p>
      <w:pPr>
        <w:jc w:val="left"/>
      </w:pPr>
      <w:r>
        <w:t>Eingriff durch Totalverbot (12.03.2026)</w:t>
      </w:r>
    </w:p>
    <w:p>
      <w:pPr>
        <w:jc w:val="left"/>
      </w:pPr>
      <w:r>
        <w:t>↓</w:t>
      </w:r>
    </w:p>
    <w:p>
      <w:pPr>
        <w:jc w:val="left"/>
      </w:pPr>
      <w:r>
        <w:t>Art. 8 II GG: Schranke nur durch Gesetz</w:t>
      </w:r>
    </w:p>
    <w:p>
      <w:pPr>
        <w:jc w:val="left"/>
      </w:pPr>
      <w:r>
        <w:t>↓</w:t>
      </w:r>
    </w:p>
    <w:p>
      <w:pPr>
        <w:jc w:val="left"/>
      </w:pPr>
      <w:r>
        <w:t>§ 16 SaarlVersG = Schrankengesetz</w:t>
      </w:r>
    </w:p>
    <w:p>
      <w:pPr>
        <w:jc w:val="left"/>
      </w:pPr>
      <w:r>
        <w:t>↓</w:t>
      </w:r>
    </w:p>
    <w:p>
      <w:pPr>
        <w:jc w:val="left"/>
      </w:pPr>
      <w:r>
        <w:t>Verhaeltnismaessigkeit: Erforderlichkeit (-) (Heiligendamm, Anti-AKW)</w:t>
      </w:r>
    </w:p>
    <w:p>
      <w:pPr>
        <w:jc w:val="left"/>
      </w:pPr>
      <w:r>
        <w:t>Mildere Mittel vorhanden — Totalverbot nicht erforderlich</w:t>
      </w:r>
    </w:p>
    <w:p>
      <w:pPr>
        <w:jc w:val="left"/>
      </w:pPr>
      <w:r>
        <w:t>↓</w:t>
      </w:r>
    </w:p>
    <w:p>
      <w:pPr>
        <w:jc w:val="left"/>
      </w:pPr>
      <w:r>
        <w:t>Angemessenheit (-): Versammlungsfreiheit als demokratisches Korrektiv</w:t>
      </w:r>
    </w:p>
    <w:p>
      <w:pPr>
        <w:jc w:val="left"/>
      </w:pPr>
      <w:r>
        <w:t>ueberwiegt abstrakte Parlamentsgefaehrdung (Bruesen, Bannmeile-Urteil)</w:t>
      </w:r>
    </w:p>
    <w:p>
      <w:pPr>
        <w:jc w:val="left"/>
      </w:pPr>
      <w:r>
        <w:t>↓</w:t>
      </w:r>
    </w:p>
    <w:p>
      <w:pPr>
        <w:jc w:val="left"/>
      </w:pPr>
      <w:r>
        <w:t>ERGEBNIS: Verletzung Art. 8 I GG</w:t>
      </w:r>
    </w:p>
    <w:p>
      <w:pPr>
        <w:jc w:val="left"/>
      </w:pPr>
      <w:r>
        <w:t>```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Quelle: bundesverfassungsgericht.de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Quelle: bundesverfassungsgericht.de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Aktenzeichen: 1 BvR 335/83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