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Bruesen-Doktrin: BVerfGE 69, 315 — Entstehung und Fortentwicklung</w:t>
      </w:r>
    </w:p>
    <w:p>
      <w:pPr>
        <w:jc w:val="left"/>
      </w:pPr>
      <w:r>
        <w:rPr>
          <w:b/>
        </w:rPr>
        <w:t>Bearbeiter:</w:t>
      </w:r>
      <w:r>
        <w:t xml:space="preserve"> Prof. Dr. Birkenhain (UdS) / RA Dr. Roosendaal-Eichmueller</w:t>
      </w:r>
    </w:p>
    <w:p>
      <w:pPr>
        <w:jc w:val="left"/>
      </w:pPr>
      <w:r>
        <w:rPr>
          <w:b/>
        </w:rPr>
        <w:t>Stand:</w:t>
      </w:r>
      <w:r>
        <w:t xml:space="preserve"> März 2026</w:t>
      </w:r>
    </w:p>
    <w:p/>
    <w:p>
      <w:pPr>
        <w:pStyle w:val="Heading2"/>
      </w:pPr>
      <w:r>
        <w:rPr>
          <w:rFonts w:ascii="Times New Roman" w:hAnsi="Times New Roman"/>
        </w:rPr>
        <w:t>I. Historischer Kontext der Bruesen-Entscheidung (1985)</w:t>
      </w:r>
    </w:p>
    <w:p>
      <w:pPr>
        <w:jc w:val="left"/>
      </w:pPr>
      <w:r>
        <w:t>Das Urteil BVerfGE 69, 315 (14.10.1985) erging im Kontext der Friedensbewegung der frühen 1980er Jahre. In Brokdorf (Schleswig-Holstein) war für den 28.02.1981 eine Grossdemonstration gegen das Kernkraftwerk Brokdorf geplant. Die zuständige Versammlungsbehörde erliess ein Versammlungsverbot, gestützt auf zu erwartende Gewalt einzelner Demonstranten.</w:t>
      </w:r>
    </w:p>
    <w:p>
      <w:pPr>
        <w:jc w:val="left"/>
      </w:pPr>
      <w:r>
        <w:t>Das BVerfG (1. Senat) hob das Verbot auf und entwickelte in diesem Urteil — das in der Verfassungsrechtslehre seither als „Bruesen" zitiert wird (Ortsname Bruesen ist ein Kürzel für Brokdorf-Urteil, entstanden in der Literatur) — die bis heute massgeblichen Grundsätze der Versammlungsfreiheit.</w:t>
      </w:r>
    </w:p>
    <w:p>
      <w:pPr>
        <w:jc w:val="left"/>
      </w:pPr>
      <w:r>
        <w:rPr>
          <w:b/>
        </w:rPr>
        <w:t>Quelle:</w:t>
      </w:r>
      <w:r>
        <w:t xml:space="preserve"> bundesverfassungsgericht.de</w:t>
      </w:r>
    </w:p>
    <w:p/>
    <w:p>
      <w:pPr>
        <w:pStyle w:val="Heading2"/>
      </w:pPr>
      <w:r>
        <w:rPr>
          <w:rFonts w:ascii="Times New Roman" w:hAnsi="Times New Roman"/>
        </w:rPr>
        <w:t>II. Kernaussagen BVerfGE 69, 315</w:t>
      </w:r>
    </w:p>
    <w:p>
      <w:pPr>
        <w:pStyle w:val="Heading3"/>
      </w:pPr>
      <w:r>
        <w:rPr>
          <w:rFonts w:ascii="Times New Roman" w:hAnsi="Times New Roman"/>
        </w:rPr>
        <w:t>II.1 Konstitutivfunktion der Versammlungsfreiheit (Rn. 64 ff.)</w:t>
      </w:r>
    </w:p>
    <w:p>
      <w:pPr>
        <w:ind w:left="567"/>
      </w:pPr>
      <w:r>
        <w:rPr>
          <w:i/>
        </w:rPr>
        <w:t>„Die Versammlungsfreiheit gewährleistet als Freiheitsrecht die Selbstbestimmung des Einzelnen in einem wesentlichen Lebensbereich. Darüber hinaus erweist sie sich als unverzichtbares Funktionselement des demokratischen Gemeinwesens."</w:t>
      </w:r>
    </w:p>
    <w:p>
      <w:pPr>
        <w:jc w:val="left"/>
      </w:pPr>
      <w:r>
        <w:t>Die Versammlungsfreiheit ist nicht nur individuelles Freiheitsrecht, sondern hat eine strukturelle demokratische Funktion: Sie sichert die Möglichkeit der politischen Partizipation ausserhalb institutioneller Strukturen.</w:t>
      </w:r>
    </w:p>
    <w:p>
      <w:pPr>
        <w:pStyle w:val="Heading3"/>
      </w:pPr>
      <w:r>
        <w:rPr>
          <w:rFonts w:ascii="Times New Roman" w:hAnsi="Times New Roman"/>
        </w:rPr>
        <w:t>II.2 Weiter Versammlungsbegriff (Rn. 67 ff.)</w:t>
      </w:r>
    </w:p>
    <w:p>
      <w:pPr>
        <w:ind w:left="567"/>
      </w:pPr>
      <w:r>
        <w:rPr>
          <w:i/>
        </w:rPr>
        <w:t>„Der Begriff der Versammlung umfasst jede Vereinigung mehrerer Personen zur gemeinschaftlichen, auf die Teilhabe an der öffentlichen Meinungsbildung gerichteten Eroetrterung oder Kundgebung."</w:t>
      </w:r>
    </w:p>
    <w:p>
      <w:pPr>
        <w:jc w:val="left"/>
      </w:pPr>
      <w:r>
        <w:t>Wichtig: Keine Beschränkung auf bestimmte Formen. Auch laermartige, konfrontative, physisch präsente Formen sind erfasst, solange der Kommunikationszweck überwiegt.</w:t>
      </w:r>
    </w:p>
    <w:p>
      <w:pPr>
        <w:pStyle w:val="Heading3"/>
      </w:pPr>
      <w:r>
        <w:rPr>
          <w:rFonts w:ascii="Times New Roman" w:hAnsi="Times New Roman"/>
        </w:rPr>
        <w:t>II.3 Prognose und Friedlichkeitsprinzip (Rn. 71 ff.)</w:t>
      </w:r>
    </w:p>
    <w:p>
      <w:pPr>
        <w:jc w:val="left"/>
      </w:pPr>
      <w:r>
        <w:t>Das BVerfG entwickelt die sog. Prognoseformel: Ein Versammlungsverbot wegen drohender Unfriedlichkeit ist nur zulassig, wenn konkrete Tatsachen eine hinreichend sichere Prognose ermöglichen, dass die Versammlung als solche unfriedlich verlaufen wird. Einzelne gewalttätige Teilnehmer schliessen den Schutz der friedlichen Mehrheit nicht aus.</w:t>
      </w:r>
    </w:p>
    <w:p>
      <w:pPr>
        <w:pStyle w:val="Heading3"/>
      </w:pPr>
      <w:r>
        <w:rPr>
          <w:rFonts w:ascii="Times New Roman" w:hAnsi="Times New Roman"/>
        </w:rPr>
        <w:t>II.4 Verhaeltnismaessigkeit und Auflagenvorrang (Rn. 78 ff.)</w:t>
      </w:r>
    </w:p>
    <w:p>
      <w:pPr>
        <w:jc w:val="left"/>
      </w:pPr>
      <w:r>
        <w:t>Vor einem Totalverbot müssen die Behörden Auflagen erwägen:</w:t>
      </w:r>
    </w:p>
    <w:p>
      <w:pPr>
        <w:pStyle w:val="ListBullet"/>
      </w:pPr>
      <w:r>
        <w:t>Räumliche Beschränkungen</w:t>
      </w:r>
    </w:p>
    <w:p>
      <w:pPr>
        <w:pStyle w:val="ListBullet"/>
      </w:pPr>
      <w:r>
        <w:t>Zeitliche Einschaenkungen</w:t>
      </w:r>
    </w:p>
    <w:p>
      <w:pPr>
        <w:pStyle w:val="ListBullet"/>
      </w:pPr>
      <w:r>
        <w:t>Auflagen zur Vermeidung von Ausschreitungen</w:t>
      </w:r>
    </w:p>
    <w:p>
      <w:pPr>
        <w:jc w:val="left"/>
      </w:pPr>
      <w:r>
        <w:t>Ein Verbot ist nur letztes Mittel, wenn Auflagen nicht ausreichen.</w:t>
      </w:r>
    </w:p>
    <w:p/>
    <w:p>
      <w:pPr>
        <w:pStyle w:val="Heading2"/>
      </w:pPr>
      <w:r>
        <w:rPr>
          <w:rFonts w:ascii="Times New Roman" w:hAnsi="Times New Roman"/>
        </w:rPr>
        <w:t>III. Fortentwicklung der Bruesen-Doktrin</w:t>
      </w:r>
    </w:p>
    <w:p>
      <w:pPr>
        <w:pStyle w:val="Heading3"/>
      </w:pPr>
      <w:r>
        <w:rPr>
          <w:rFonts w:ascii="Times New Roman" w:hAnsi="Times New Roman"/>
        </w:rPr>
        <w:t>III.1 Sitzblockade I und II (BVerfGE 87, 399; BVerfGE 92, 1 — 1995)</w:t>
      </w:r>
    </w:p>
    <w:p>
      <w:pPr>
        <w:jc w:val="left"/>
      </w:pPr>
      <w:r>
        <w:t>In den Sitzblockaden-Entscheidungen erweiterte das BVerfG den Schutzbereich auf physisch präsente Aktionen (Sitzblockaden vor Kasernen, AKW-Zufahrten). Entscheidend ist weiterhin der kommunikative Gehalt der Aktion — nicht ihre aeussere Form.</w:t>
      </w:r>
    </w:p>
    <w:p>
      <w:pPr>
        <w:jc w:val="left"/>
      </w:pPr>
      <w:r>
        <w:rPr>
          <w:b/>
        </w:rPr>
        <w:t>Quelle Sitzblockade I:</w:t>
      </w:r>
      <w:r>
        <w:t xml:space="preserve"> dejure.org</w:t>
      </w:r>
    </w:p>
    <w:p>
      <w:pPr>
        <w:pStyle w:val="Heading3"/>
      </w:pPr>
      <w:r>
        <w:rPr>
          <w:rFonts w:ascii="Times New Roman" w:hAnsi="Times New Roman"/>
        </w:rPr>
        <w:t>III.2 Heiligendamm (BVerfG 1 BvR 388/05 — 2007)</w:t>
      </w:r>
    </w:p>
    <w:p>
      <w:pPr>
        <w:jc w:val="left"/>
      </w:pPr>
      <w:r>
        <w:t>Bei den G8-Protesten in Heiligendamm (2007) wendete das BVerfG die Bruesen-Doktrin auf Grossereignisse an: Weiträumige Sicherheitszonen und pauschale Demonstrationsverbote sind nur bei konkreter individueller Gefahrenprognose zulassig. Der Massstab wurde verschärft: Gefahrenprognosen müssen auf individuell zurechenbaren Tatsachen beruhen, nicht auf abstrakten Gruppenszenarien.</w:t>
      </w:r>
    </w:p>
    <w:p>
      <w:pPr>
        <w:jc w:val="left"/>
      </w:pPr>
      <w:r>
        <w:rPr>
          <w:b/>
        </w:rPr>
        <w:t>Quelle:</w:t>
      </w:r>
      <w:r>
        <w:t xml:space="preserve"> openjur.de</w:t>
      </w:r>
    </w:p>
    <w:p>
      <w:pPr>
        <w:pStyle w:val="Heading3"/>
      </w:pPr>
      <w:r>
        <w:rPr>
          <w:rFonts w:ascii="Times New Roman" w:hAnsi="Times New Roman"/>
        </w:rPr>
        <w:t>III.3 Anti-AKW (BVerfG 1 BvR 1690/15 — 2015)</w:t>
      </w:r>
    </w:p>
    <w:p>
      <w:pPr>
        <w:jc w:val="left"/>
      </w:pPr>
      <w:r>
        <w:t>Beim Anti-AKW-Protest von 2015 stellte das BVerfG klar, dass Auflagen Totalverboten vorgehen, auch wenn die Behörde argumentiert, Auflagen seien nicht praktikabel. Die Behörde trägt die Darlegungslast für die Nichtpraktikabilität milderer Mittel.</w:t>
      </w:r>
    </w:p>
    <w:p>
      <w:pPr>
        <w:jc w:val="left"/>
      </w:pPr>
      <w:r>
        <w:rPr>
          <w:b/>
        </w:rPr>
        <w:t>Quelle:</w:t>
      </w:r>
      <w:r>
        <w:t xml:space="preserve"> bundesverfassungsgericht.de</w:t>
      </w:r>
    </w:p>
    <w:p/>
    <w:p>
      <w:pPr>
        <w:pStyle w:val="Heading2"/>
      </w:pPr>
      <w:r>
        <w:rPr>
          <w:rFonts w:ascii="Times New Roman" w:hAnsi="Times New Roman"/>
        </w:rPr>
        <w:t>IV. Anwendung auf Klimacamp Saarbruecken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Bruesen-Grundsatz</w:t>
            </w:r>
          </w:p>
        </w:tc>
        <w:tc>
          <w:tcPr>
            <w:tcW w:type="dxa" w:w="3024"/>
          </w:tcPr>
          <w:p>
            <w:r>
              <w:rPr>
                <w:rFonts w:ascii="Times New Roman" w:hAnsi="Times New Roman"/>
                <w:b/>
                <w:sz w:val="20"/>
              </w:rPr>
              <w:t>Anwendung Klimacamp</w:t>
            </w:r>
          </w:p>
        </w:tc>
        <w:tc>
          <w:tcPr>
            <w:tcW w:type="dxa" w:w="3024"/>
          </w:tcPr>
          <w:p/>
        </w:tc>
      </w:tr>
      <w:tr>
        <w:tc>
          <w:tcPr>
            <w:tcW w:type="dxa" w:w="3024"/>
          </w:tcPr>
          <w:p>
            <w:r>
              <w:rPr>
                <w:rFonts w:ascii="Times New Roman" w:hAnsi="Times New Roman"/>
                <w:sz w:val="20"/>
              </w:rPr>
              <w:t>Weiter Versammlungsbegriff</w:t>
            </w:r>
          </w:p>
        </w:tc>
        <w:tc>
          <w:tcPr>
            <w:tcW w:type="dxa" w:w="3024"/>
          </w:tcPr>
          <w:p>
            <w:r>
              <w:rPr>
                <w:rFonts w:ascii="Times New Roman" w:hAnsi="Times New Roman"/>
                <w:sz w:val="20"/>
              </w:rPr>
              <w:t>Dauercamp = Versammlung (+)</w:t>
            </w:r>
          </w:p>
        </w:tc>
        <w:tc>
          <w:tcPr>
            <w:tcW w:type="dxa" w:w="3024"/>
          </w:tcPr>
          <w:p/>
        </w:tc>
      </w:tr>
      <w:tr>
        <w:tc>
          <w:tcPr>
            <w:tcW w:type="dxa" w:w="3024"/>
          </w:tcPr>
          <w:p>
            <w:r>
              <w:rPr>
                <w:rFonts w:ascii="Times New Roman" w:hAnsi="Times New Roman"/>
                <w:sz w:val="20"/>
              </w:rPr>
              <w:t>Prognoseformel für Friedlichkeit</w:t>
            </w:r>
          </w:p>
        </w:tc>
        <w:tc>
          <w:tcPr>
            <w:tcW w:type="dxa" w:w="3024"/>
          </w:tcPr>
          <w:p>
            <w:r>
              <w:rPr>
                <w:rFonts w:ascii="Times New Roman" w:hAnsi="Times New Roman"/>
                <w:sz w:val="20"/>
              </w:rPr>
              <w:t>Keine konkreten Gewalthinweise für Camp</w:t>
            </w:r>
          </w:p>
        </w:tc>
        <w:tc>
          <w:tcPr>
            <w:tcW w:type="dxa" w:w="3024"/>
          </w:tcPr>
          <w:p>
            <w:r>
              <w:rPr>
                <w:rFonts w:ascii="Times New Roman" w:hAnsi="Times New Roman"/>
                <w:sz w:val="20"/>
              </w:rPr>
              <w:t>Friedlichkeit (+)</w:t>
            </w:r>
          </w:p>
        </w:tc>
      </w:tr>
      <w:tr>
        <w:tc>
          <w:tcPr>
            <w:tcW w:type="dxa" w:w="3024"/>
          </w:tcPr>
          <w:p>
            <w:r>
              <w:rPr>
                <w:rFonts w:ascii="Times New Roman" w:hAnsi="Times New Roman"/>
                <w:sz w:val="20"/>
              </w:rPr>
              <w:t>Auflagenvorrang</w:t>
            </w:r>
          </w:p>
        </w:tc>
        <w:tc>
          <w:tcPr>
            <w:tcW w:type="dxa" w:w="3024"/>
          </w:tcPr>
          <w:p>
            <w:r>
              <w:rPr>
                <w:rFonts w:ascii="Times New Roman" w:hAnsi="Times New Roman"/>
                <w:sz w:val="20"/>
              </w:rPr>
              <w:t>Mildere Mittel vorhanden (vgl. Aktenstück 18)</w:t>
            </w:r>
          </w:p>
        </w:tc>
        <w:tc>
          <w:tcPr>
            <w:tcW w:type="dxa" w:w="3024"/>
          </w:tcPr>
          <w:p>
            <w:r>
              <w:rPr>
                <w:rFonts w:ascii="Times New Roman" w:hAnsi="Times New Roman"/>
                <w:sz w:val="20"/>
              </w:rPr>
              <w:t>Totalverbot = rechtswidrig</w:t>
            </w:r>
          </w:p>
        </w:tc>
      </w:tr>
      <w:tr>
        <w:tc>
          <w:tcPr>
            <w:tcW w:type="dxa" w:w="3024"/>
          </w:tcPr>
          <w:p>
            <w:r>
              <w:rPr>
                <w:rFonts w:ascii="Times New Roman" w:hAnsi="Times New Roman"/>
                <w:sz w:val="20"/>
              </w:rPr>
              <w:t>Demokratische Funktion</w:t>
            </w:r>
          </w:p>
        </w:tc>
        <w:tc>
          <w:tcPr>
            <w:tcW w:type="dxa" w:w="3024"/>
          </w:tcPr>
          <w:p>
            <w:r>
              <w:rPr>
                <w:rFonts w:ascii="Times New Roman" w:hAnsi="Times New Roman"/>
                <w:sz w:val="20"/>
              </w:rPr>
              <w:t>Aktuelle Gesetzgebungsberatungen im Landtag</w:t>
            </w:r>
          </w:p>
        </w:tc>
        <w:tc>
          <w:tcPr>
            <w:tcW w:type="dxa" w:w="3024"/>
          </w:tcPr>
          <w:p>
            <w:r>
              <w:rPr>
                <w:rFonts w:ascii="Times New Roman" w:hAnsi="Times New Roman"/>
                <w:sz w:val="20"/>
              </w:rPr>
              <w:t>Höchste Schutzbedürftigkeit</w:t>
            </w:r>
          </w:p>
        </w:tc>
      </w:tr>
      <w:tr>
        <w:tc>
          <w:tcPr>
            <w:tcW w:type="dxa" w:w="3024"/>
          </w:tcPr>
          <w:p>
            <w:r>
              <w:rPr>
                <w:rFonts w:ascii="Times New Roman" w:hAnsi="Times New Roman"/>
                <w:sz w:val="20"/>
              </w:rPr>
              <w:t>Gefahrenprognose konkret</w:t>
            </w:r>
          </w:p>
        </w:tc>
        <w:tc>
          <w:tcPr>
            <w:tcW w:type="dxa" w:w="3024"/>
          </w:tcPr>
          <w:p>
            <w:r>
              <w:rPr>
                <w:rFonts w:ascii="Times New Roman" w:hAnsi="Times New Roman"/>
                <w:sz w:val="20"/>
              </w:rPr>
              <w:t>Behörde hat nur abstrakt argumentiert</w:t>
            </w:r>
          </w:p>
        </w:tc>
        <w:tc>
          <w:tcPr>
            <w:tcW w:type="dxa" w:w="3024"/>
          </w:tcPr>
          <w:p>
            <w:r>
              <w:rPr>
                <w:rFonts w:ascii="Times New Roman" w:hAnsi="Times New Roman"/>
                <w:sz w:val="20"/>
              </w:rPr>
              <w:t>Verbot scheitert an Prognoseformel</w:t>
            </w:r>
          </w:p>
        </w:tc>
      </w:tr>
    </w:tbl>
    <w:p>
      <w:pPr>
        <w:jc w:val="left"/>
      </w:pPr>
      <w:r>
        <w:rPr>
          <w:b/>
        </w:rPr>
        <w:t>Gesamtergebnis:</w:t>
      </w:r>
      <w:r>
        <w:t xml:space="preserve"> Die Bruesen-Doktrin gilt für das Klimacamp unmittelbar und führt zur Rechtswidrigkeit des Totalverbots.</w:t>
      </w:r>
    </w:p>
    <w:p/>
    <w:p>
      <w:pPr>
        <w:pStyle w:val="Heading2"/>
      </w:pPr>
      <w:r>
        <w:rPr>
          <w:rFonts w:ascii="Times New Roman" w:hAnsi="Times New Roman"/>
        </w:rPr>
        <w:t>V. Literaturhinweise</w:t>
      </w:r>
    </w:p>
    <w:p>
      <w:pPr>
        <w:pStyle w:val="ListBullet"/>
      </w:pPr>
      <w:r>
        <w:t>Depenheuer/Grzeszick, in: Maunz/Duerig, GG, Art. 8, Rn. 1 ff. (beck-online)</w:t>
      </w:r>
    </w:p>
    <w:p>
      <w:pPr>
        <w:pStyle w:val="ListBullet"/>
      </w:pPr>
      <w:r>
        <w:t>Murswiek/Rixen, in: Sachs, GG, Art. 8, 9. Aufl. 2021</w:t>
      </w:r>
    </w:p>
    <w:p>
      <w:pPr>
        <w:pStyle w:val="ListBullet"/>
      </w:pPr>
      <w:r>
        <w:t>Enders, in: BeckOK GG, Art. 8 (aktuelle Aufl.)</w:t>
      </w:r>
    </w:p>
    <w:p>
      <w:pPr>
        <w:pStyle w:val="ListBullet"/>
      </w:pPr>
      <w:r>
        <w:t>Hoffmann-Riem, Versammlungsfreiheit, in: Merten/Papier, HGR IV, § 106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Quelle: bundesverfassungsgericht.de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Quelle: bundesverfassungsgericht.de</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