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— Checkliste: Veröffentlichung auf BVerfG-Website und Nachbereitung</w:t>
      </w:r>
    </w:p>
    <w:p>
      <w:pPr>
        <w:jc w:val="left"/>
      </w:pPr>
      <w:r>
        <w:rPr>
          <w:b/>
        </w:rPr>
        <w:t>Bearbeiter:</w:t>
      </w:r>
      <w:r>
        <w:t xml:space="preserve"> RA Dr. Roosendaal-Eichmueller</w:t>
      </w:r>
    </w:p>
    <w:p>
      <w:pPr>
        <w:jc w:val="left"/>
      </w:pPr>
      <w:r>
        <w:rPr>
          <w:b/>
        </w:rPr>
        <w:t>Stand:</w:t>
      </w:r>
      <w:r>
        <w:t xml:space="preserve"> März 2026</w:t>
      </w:r>
    </w:p>
    <w:p/>
    <w:p>
      <w:pPr>
        <w:pStyle w:val="Heading2"/>
      </w:pPr>
      <w:r>
        <w:rPr>
          <w:rFonts w:ascii="Times New Roman" w:hAnsi="Times New Roman"/>
        </w:rPr>
        <w:t>I. Hintergrund: BVerfG-Veröffentlichungspflichten</w:t>
      </w:r>
    </w:p>
    <w:p>
      <w:pPr>
        <w:jc w:val="left"/>
      </w:pPr>
      <w:r>
        <w:t>Das Bundesverfassungsgericht veröffentlicht sämtliche Entscheidungen (§ 30 II BVerfGG). Die Entscheidungen im Verfahren 1 BvR 188/26 werden auf der offiziellen BVerfG-Website zugänglich gemacht.</w:t>
      </w:r>
    </w:p>
    <w:p>
      <w:pPr>
        <w:jc w:val="left"/>
      </w:pPr>
      <w:r>
        <w:rPr>
          <w:b/>
        </w:rPr>
        <w:t>BVerfG-Datenbank:</w:t>
      </w:r>
      <w:r>
        <w:t xml:space="preserve"> bundesverfassungsgericht.de</w:t>
      </w:r>
    </w:p>
    <w:p/>
    <w:p>
      <w:pPr>
        <w:pStyle w:val="Heading2"/>
      </w:pPr>
      <w:r>
        <w:rPr>
          <w:rFonts w:ascii="Times New Roman" w:hAnsi="Times New Roman"/>
        </w:rPr>
        <w:t>II. Checkliste nach Bekanntgabe der BVerfG-Entscheidung</w:t>
      </w:r>
    </w:p>
    <w:p>
      <w:pPr>
        <w:pStyle w:val="Heading3"/>
      </w:pPr>
      <w:r>
        <w:rPr>
          <w:rFonts w:ascii="Times New Roman" w:hAnsi="Times New Roman"/>
        </w:rPr>
        <w:t>A. Sofortmassnahmen (innerhalb 1 Stunde)</w:t>
      </w:r>
    </w:p>
    <w:p>
      <w:pPr>
        <w:pStyle w:val="ListBullet"/>
      </w:pPr>
      <w:r>
        <w:t>[ ] BVerfG-Pressemitteilung auf bundesverfassungsgericht.de abrufen und lesen</w:t>
      </w:r>
    </w:p>
    <w:p>
      <w:pPr>
        <w:pStyle w:val="ListBullet"/>
      </w:pPr>
      <w:r>
        <w:t>[ ] Entscheidungstenor dokumentieren (Aktenzeichen, Datum, Entscheidungsformel)</w:t>
      </w:r>
    </w:p>
    <w:p>
      <w:pPr>
        <w:pStyle w:val="ListBullet"/>
      </w:pPr>
      <w:r>
        <w:t>[ ] Dr. Tannenberg-Roosendaal telefonisch informieren</w:t>
      </w:r>
    </w:p>
    <w:p>
      <w:pPr>
        <w:pStyle w:val="ListBullet"/>
      </w:pPr>
      <w:r>
        <w:t>[ ] Interne Kanzleirundrunde: Dr. Roosendaal-Eichmueller + RA Schwingenstein</w:t>
      </w:r>
    </w:p>
    <w:p>
      <w:pPr>
        <w:pStyle w:val="ListBullet"/>
      </w:pPr>
      <w:r>
        <w:t>[ ] Zutreffende Pressemitteilung (Version A oder B, Aktenstück 21) freigeben</w:t>
      </w:r>
    </w:p>
    <w:p>
      <w:pPr>
        <w:pStyle w:val="ListBullet"/>
      </w:pPr>
      <w:r>
        <w:t>[ ] Pressemitteilung an Verteiler senden (SR, SZ, tagesschau.de, LTO, Klimareporter)</w:t>
      </w:r>
    </w:p>
    <w:p>
      <w:pPr>
        <w:pStyle w:val="Heading3"/>
      </w:pPr>
      <w:r>
        <w:rPr>
          <w:rFonts w:ascii="Times New Roman" w:hAnsi="Times New Roman"/>
        </w:rPr>
        <w:t>B. Innerhalb von 24 Stunden</w:t>
      </w:r>
    </w:p>
    <w:p>
      <w:pPr>
        <w:pStyle w:val="ListBullet"/>
      </w:pPr>
      <w:r>
        <w:t>[ ] Volltext der Entscheidung von BVerfG-Website herunterladen (PDF)</w:t>
      </w:r>
    </w:p>
    <w:p>
      <w:pPr>
        <w:pStyle w:val="ListBullet"/>
      </w:pPr>
      <w:r>
        <w:t>[ ] Entscheidung rechtlich analysieren (Dr. Roosendaal-Eichmueller + Prof. Birkenhain)</w:t>
      </w:r>
    </w:p>
    <w:p>
      <w:pPr>
        <w:pStyle w:val="ListBullet"/>
      </w:pPr>
      <w:r>
        <w:t>[ ] Pruefung: Ist die Hauptsachefrage abschliessend entschieden oder noch offen?</w:t>
      </w:r>
    </w:p>
    <w:p>
      <w:pPr>
        <w:pStyle w:val="ListBullet"/>
      </w:pPr>
      <w:r>
        <w:t>[ ] Mandantschaft vollständig schriftlich informieren (BF 1-15)</w:t>
      </w:r>
    </w:p>
    <w:p>
      <w:pPr>
        <w:pStyle w:val="ListBullet"/>
      </w:pPr>
      <w:r>
        <w:t>[ ] Koordinationsgespräch Strafverfahren: Auswirkung auf § 27 SaarlVersG-Verfahren?</w:t>
      </w:r>
    </w:p>
    <w:p>
      <w:pPr>
        <w:pStyle w:val="ListBullet"/>
      </w:pPr>
      <w:r>
        <w:t>[ ] Aktenvermerk erstellen (Aktenzeichen intern: MR-2026-VB-0312)</w:t>
      </w:r>
    </w:p>
    <w:p>
      <w:pPr>
        <w:pStyle w:val="Heading3"/>
      </w:pPr>
      <w:r>
        <w:rPr>
          <w:rFonts w:ascii="Times New Roman" w:hAnsi="Times New Roman"/>
        </w:rPr>
        <w:t>C. Innerhalb von 1 Woche</w:t>
      </w:r>
    </w:p>
    <w:p>
      <w:pPr>
        <w:pStyle w:val="ListBullet"/>
      </w:pPr>
      <w:r>
        <w:t>[ ] Vollständige Entscheidungsanalyse erstellen (für evtl. Folgeverfahren)</w:t>
      </w:r>
    </w:p>
    <w:p>
      <w:pPr>
        <w:pStyle w:val="ListBullet"/>
      </w:pPr>
      <w:r>
        <w:t>[ ] Abschlussabrechnung Kanzlei an Initiative</w:t>
      </w:r>
    </w:p>
    <w:p>
      <w:pPr>
        <w:pStyle w:val="ListBullet"/>
      </w:pPr>
      <w:r>
        <w:t>[ ] BUND Saarland und Campact über Ergebnis informieren</w:t>
      </w:r>
    </w:p>
    <w:p>
      <w:pPr>
        <w:pStyle w:val="ListBullet"/>
      </w:pPr>
      <w:r>
        <w:t>[ ] Pruefung: Europäischer Gerichtshof für Menschenrechte (EGMR) — Art. 11 EMRK — nur wenn BVerfG abweisend und neue Grundsatzfrage</w:t>
      </w:r>
    </w:p>
    <w:p>
      <w:pPr>
        <w:pStyle w:val="ListBullet"/>
      </w:pPr>
      <w:r>
        <w:t>[ ] Pruefung: Neue Versammlungsanmeldung für ein Nachfolgecampf (nach evtl. Aussetzung des Verbots)</w:t>
      </w:r>
    </w:p>
    <w:p>
      <w:pPr>
        <w:pStyle w:val="ListBullet"/>
      </w:pPr>
      <w:r>
        <w:t>[ ] Spendenverwendungsnachweis für Initiative erstellen</w:t>
      </w:r>
    </w:p>
    <w:p/>
    <w:p>
      <w:pPr>
        <w:pStyle w:val="Heading2"/>
      </w:pPr>
      <w:r>
        <w:rPr>
          <w:rFonts w:ascii="Times New Roman" w:hAnsi="Times New Roman"/>
        </w:rPr>
        <w:t>III. BVerfG-Veröffentlichung — Technischer Ablauf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Ablauf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BVerfG veröffentlicht i.d.R. am Tag der Entscheidung oder am Folgetag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Abruf Volltext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bundesverfassungsgericht.de — Entscheidungen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Recherche nach AZ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Suche nach „1 BvR 188/26" in der BVerfG-Datenbank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Download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PDF-Volltext + ggf. Pressemitteilung getrennt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dejure.org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Parallel auf dejure.org prufen — dort werden BVerfG-Entscheidungen zeitnah verlinkt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openjur.de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Auch openjur.de verlinkt BVerfG-Entscheidungen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IV. Archivierung und Aktenabschluss</w:t>
      </w:r>
    </w:p>
    <w:p>
      <w:pPr>
        <w:pStyle w:val="ListBullet"/>
      </w:pPr>
      <w:r>
        <w:t>Volltext der BVerfG-Entscheidung: in Akte MR-2026-VB-0312 ablegen</w:t>
      </w:r>
    </w:p>
    <w:p>
      <w:pPr>
        <w:pStyle w:val="ListBullet"/>
      </w:pPr>
      <w:r>
        <w:t>Kopie an Initiative (Dr. Tannenberg-Roosendaal) senden</w:t>
      </w:r>
    </w:p>
    <w:p>
      <w:pPr>
        <w:pStyle w:val="ListBullet"/>
      </w:pPr>
      <w:r>
        <w:t>Kopie an Prof. Dr. Birkenhain (UdS) senden (für wissenschaftliche Auswertung)</w:t>
      </w:r>
    </w:p>
    <w:p>
      <w:pPr>
        <w:pStyle w:val="ListBullet"/>
      </w:pPr>
      <w:r>
        <w:t>Aufbewahrungsfrist Kanzleiakte: 10 Jahre (§ 50 IV BRAO)</w:t>
      </w:r>
    </w:p>
    <w:p>
      <w:pPr>
        <w:pStyle w:val="ListBullet"/>
      </w:pPr>
      <w:r>
        <w:t>Aktenzeichen BVerfG (1 BvR 188/26) dauerhaft in Kanzleidatenbank eintragen</w:t>
      </w:r>
    </w:p>
    <w:p/>
    <w:p>
      <w:pPr>
        <w:pStyle w:val="Heading2"/>
      </w:pPr>
      <w:r>
        <w:rPr>
          <w:rFonts w:ascii="Times New Roman" w:hAnsi="Times New Roman"/>
        </w:rPr>
        <w:t>V. Mögliche Folgeverfahren (Prüfschema)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Mögliche Reaktion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BVerfG hebt Verbot auf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Veröffentlichung, ggf. neues Camp, Abschluss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BVerfG lehnt VB ab — grundsätzliche Frage offen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EGMR (Art. 11 EMRK) prüfen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BVerfG lehnt EA ab — Hauptsache noch offen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 Hauptsacheentscheidung warten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BVerfG nimmt VB nicht zur Entscheidung an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Abschluss; Ergebnis kommunizieren; evtl. Satzungsaenderung SaarlVersG durch politische Lobbyarbeit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Strafverfahren endet mit Verurteilung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Verfassungsbeschwerde gegen Strafurteil (gesondertes Verfahren)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BVerfG-Datenbank: bundesverfassungsgericht.de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BVerfG-Datenbank: bundesverfassungsgericht.de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