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EILANTRAG NACH § 32 BVerfGG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 das Bundesverfassungsgericht — 1. Senat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Schlossbezirk 3, 76131 Karlsruhe</w:t>
      </w:r>
    </w:p>
    <w:p>
      <w:pPr>
        <w:pBdr>
          <w:bottom w:val="single" w:color="AAAAAA" w:sz="6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 dem Verfassungsbeschwerdeverfahren 1 BvR 188/26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der Klimacamp Initiative Saarbruecken e.V. u.a.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— Beschwerdefuehrer —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2"/>
        <w:spacing w:after="150" w:before="300"/>
      </w:pPr>
      <w:r>
        <w:t xml:space="preserve">I. Antrag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Die Beschwerdefuehrer beantragen den Erlass einer einstweiligen Anordnung nach § 32 I BVerfGG, mit der die Verbotsverfuegung des Stadtrechtsamts Saarbruecken vom 12.03.2026 (VersB 2026-0312-001) bis zur Entscheidung ueber die Verfassungsbeschwerde 1 BvR 188/26 vorlaeufig ausser Vollzug gesetzt wird.</w:t>
      </w:r>
    </w:p>
    <w:p>
      <w:pPr>
        <w:pStyle w:val="Heading2"/>
        <w:spacing w:after="150" w:before="300"/>
      </w:pPr>
      <w:r>
        <w:t xml:space="preserve">II. Dringlichkeit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Das geplante Camp sollte am 16.03.2026 beginnen. Ohne sofortige einstweilige Anordnung ist der politische Moment — Protest waehrend laufender Parlamentsberatungen zum Energiefoerderungsgesetz (Plenarsitzungen 17.03.–14.04.2026) — irreversibel verloren.</w:t>
      </w:r>
    </w:p>
    <w:p>
      <w:pPr>
        <w:pStyle w:val="Heading2"/>
        <w:spacing w:after="150" w:before="300"/>
      </w:pPr>
      <w:r>
        <w:t xml:space="preserve">III. Doppelhypothese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Hypothese 1 (EA ergeht; VB scheitert):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Das Camp findet statt. Parlamentsbetrieb wird allenfalls geringfuegig beeintraechtigt (mildernde Auflagen laut Versammlungskonzept). Schaeden sind zeitlich begrenzt und vollstaendig reversibel.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Hypothese 2 (EA nicht; VB Erfolg):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Das Camp findet nicht statt. Politischer Moment unwiederbringlich verloren. Art. 8 I GG vollstaendig und irreversibel vereitelt. Grundrechtsschutz ex post wertlos in Versammlungssachen.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Ergebnis: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Die Nachteile der Hypothese 2 ueberwiegen bei weitem. Die einstweilige Anordnung ist dringend geboten.</w:t>
      </w:r>
    </w:p>
    <w:p>
      <w:pPr>
        <w:pStyle w:val="Heading2"/>
        <w:spacing w:after="150" w:before="300"/>
      </w:pPr>
      <w:r>
        <w:t xml:space="preserve">IV. Summarische Erfolgsaussichten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Die Verfassungsbeschwerde hat gute Erfolgsaussichten. Totalverbot ohne Pruefung milderer Mittel und ohne konkreten Gefaehrdungsnachweis ist mit Art. 8 I GG nach den Masstaeben des BVerfG (Bruesen, Heiligendamm, Anti-AKW) nicht vereinbar.</w:t>
      </w:r>
    </w:p>
    <w:p>
      <w:pPr>
        <w:pBdr>
          <w:bottom w:val="single" w:color="AAAAAA" w:sz="6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Saarbruecken, 16. Maerz 2026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RA Dr. Roosendaal-Eichmueller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Roosendaal Schwingenstein Partner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2"/>
        <w:spacing w:after="150" w:before="300"/>
      </w:pPr>
      <w:r>
        <w:t xml:space="preserve">Quellen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BVerfGE 69, 315 (Bruesen): https://www.bundesverfassungsgericht.de/SharedDocs/Entscheidungen/DE/1985/10/rs19851014_1bvr033583.html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BVerfGE 104, 23 (Doppelhypothese): https://dejure.org/dienste/vernetzung/rechtsprechung?Text=BVerfGE%20104%2C%2023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Bundesverfassungsgericht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Bundesverfassungsgericht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 BvR 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Eilantrag § 32 BVerfGG — 1 BvR 188/26 Klimacamp Saarbruecken</dc:title>
  <dc:creator>Perplexity Computer</dc:creator>
  <dc:description>Eilantrag auf einstweilige Anordnung, Klimacamp Initiative Saarbruecken e.V.</dc:description>
  <cp:lastModifiedBy>Un-named</cp:lastModifiedBy>
  <cp:revision>1</cp:revision>
  <dcterms:created xsi:type="dcterms:W3CDTF">2026-05-30T21:20:45.967Z</dcterms:created>
  <dcterms:modified xsi:type="dcterms:W3CDTF">2026-05-30T21:20:45.967Z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