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Stellungnahme der Verkehrsbetriebe Friedrichshöfe GmbH zur Linienführung Linie 7 Westast und Betroffenenanalyse</w:t>
      </w:r>
    </w:p>
    <w:p>
      <w:pPr>
        <w:jc w:val="left"/>
      </w:pPr>
      <w:r>
        <w:rPr>
          <w:b/>
        </w:rPr>
        <w:t>Verkehrsbetriebe Friedrichshöfe GmbH (VBF)</w:t>
      </w:r>
    </w:p>
    <w:p>
      <w:pPr>
        <w:jc w:val="left"/>
      </w:pPr>
      <w:r>
        <w:t>Betriebsstraße 18, 47112 Friedrichshöfe</w:t>
      </w:r>
    </w:p>
    <w:p>
      <w:pPr>
        <w:jc w:val="left"/>
      </w:pPr>
      <w:r>
        <w:t>Telefon: 02361 / 88-4400 | verkehr@vbf-friedrichshoefe.de</w:t>
      </w:r>
    </w:p>
    <w:p>
      <w:pPr>
        <w:jc w:val="left"/>
      </w:pPr>
      <w:r>
        <w:rPr>
          <w:b/>
        </w:rPr>
        <w:t>Datum:</w:t>
      </w:r>
      <w:r>
        <w:t xml:space="preserve"> 14. August 2024</w:t>
      </w:r>
    </w:p>
    <w:p>
      <w:pPr>
        <w:jc w:val="left"/>
      </w:pPr>
      <w:r>
        <w:rPr>
          <w:b/>
        </w:rPr>
        <w:t>Aktenzeichen:</w:t>
      </w:r>
      <w:r>
        <w:t xml:space="preserve"> VBF-PL-2024/L7-003</w:t>
      </w:r>
    </w:p>
    <w:p>
      <w:pPr>
        <w:jc w:val="left"/>
      </w:pPr>
      <w:r>
        <w:rPr>
          <w:b/>
        </w:rPr>
        <w:t>An:</w:t>
      </w:r>
      <w:r>
        <w:t xml:space="preserve"> Planungsamt der Stadt Friedrichshöfe, Amt 61, z. Hd. Frau Dipl.-Ing. Sabine Kreutzmann</w:t>
      </w:r>
    </w:p>
    <w:p>
      <w:pPr>
        <w:jc w:val="left"/>
      </w:pPr>
      <w:r>
        <w:rPr>
          <w:b/>
        </w:rPr>
        <w:t>Betreff:</w:t>
      </w:r>
      <w:r>
        <w:t xml:space="preserve"> Stellungnahme zur Vorzugsvariante B – Trassierung Straßenbahnlinie 7 Westast, Betroffenenanalyse und Umsetzungshinweise</w:t>
      </w:r>
    </w:p>
    <w:p/>
    <w:p>
      <w:pPr>
        <w:pStyle w:val="Heading2"/>
      </w:pPr>
      <w:r>
        <w:rPr>
          <w:rFonts w:ascii="Times New Roman" w:hAnsi="Times New Roman"/>
        </w:rPr>
        <w:t>1. Einleitung und Auftrag</w:t>
      </w:r>
    </w:p>
    <w:p>
      <w:pPr>
        <w:jc w:val="left"/>
      </w:pPr>
      <w:r>
        <w:t>Die Verkehrsbetriebe Friedrichshöfe GmbH (VBF) wurde mit Beschluss des Stadtrates vom 12. März 2019 (DS-2019/0214) beauftragt, die verkehrliche und betriebliche Machbarkeit einer Verlängerung der Straßenbahnlinie 7 in Richtung Stadtquartier Westpark zu untersuchen. Im Rahmen der nunmehr vorliegenden Vorplanung (Stand: Juli 2024) wurden drei Varianten ausgearbeitet. Die vorliegende Stellungnahme gibt die fachliche Einschätzung der VBF zur Vorzugsvariante B wieder, benennt die wesentlichen Betroffenen und erläutert die betrieblichen Anforderungen an die Trassierung.</w:t>
      </w:r>
    </w:p>
    <w:p/>
    <w:p>
      <w:pPr>
        <w:pStyle w:val="Heading2"/>
      </w:pPr>
      <w:r>
        <w:rPr>
          <w:rFonts w:ascii="Times New Roman" w:hAnsi="Times New Roman"/>
        </w:rPr>
        <w:t>2. Beschreibung der Vorzugsvariante B</w:t>
      </w:r>
    </w:p>
    <w:p>
      <w:pPr>
        <w:jc w:val="left"/>
      </w:pPr>
      <w:r>
        <w:t>Die Vorzugsvariante B verlässt die bestehende Haltestelle "Siemensring Ost" (km 0+000) in südwestlicher Richtung, schwenkt in die Zufahrt des Gewerbeparks Siemensring ein und verläuft auf einer neu zu erstellenden Trasse im straßenbündigen Betrieb durch den Siemensring (km 0+000 bis km 0+980). Ab km 0+980 verlässt die Trasse den Siemensring und verläuft auf einem eigenständigen Gleiskörper durch den Grünstreifen des neuen Westpark-Boulevards (km 0+980 bis km 2+640). Der Endpunkt liegt an der geplanten Haltestelle "Westpark-Mitte" (km 2+640), wo eine Wendeschleife errichtet wird. Eine spätere Verlängerung bis zur Haltestelle "Hochschule West" (km 3+200) ist planlich gesichert.</w:t>
      </w:r>
    </w:p>
    <w:p>
      <w:pPr>
        <w:pStyle w:val="Heading3"/>
      </w:pPr>
      <w:r>
        <w:rPr>
          <w:rFonts w:ascii="Times New Roman" w:hAnsi="Times New Roman"/>
        </w:rPr>
        <w:t>2.1 Haltestellen</w:t>
      </w:r>
    </w:p>
    <w:p>
      <w:pPr>
        <w:jc w:val="left"/>
      </w:pPr>
      <w:r>
        <w:t>Die Variante B sieht vier neue Haltestellen vor:</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Nr.</w:t>
            </w:r>
          </w:p>
        </w:tc>
        <w:tc>
          <w:tcPr>
            <w:tcW w:type="dxa" w:w="2268"/>
          </w:tcPr>
          <w:p>
            <w:r>
              <w:rPr>
                <w:rFonts w:ascii="Times New Roman" w:hAnsi="Times New Roman"/>
                <w:b/>
                <w:sz w:val="20"/>
              </w:rPr>
              <w:t>Haltestellenname</w:t>
            </w:r>
          </w:p>
        </w:tc>
        <w:tc>
          <w:tcPr>
            <w:tcW w:type="dxa" w:w="2268"/>
          </w:tcPr>
          <w:p>
            <w:r>
              <w:rPr>
                <w:rFonts w:ascii="Times New Roman" w:hAnsi="Times New Roman"/>
                <w:b/>
                <w:sz w:val="20"/>
              </w:rPr>
              <w:t>km-Lage</w:t>
            </w:r>
          </w:p>
        </w:tc>
        <w:tc>
          <w:tcPr>
            <w:tcW w:type="dxa" w:w="2268"/>
          </w:tcPr>
          <w:p>
            <w:r>
              <w:rPr>
                <w:rFonts w:ascii="Times New Roman" w:hAnsi="Times New Roman"/>
                <w:b/>
                <w:sz w:val="20"/>
              </w:rPr>
              <w:t>Bemerkung</w:t>
            </w:r>
          </w:p>
        </w:tc>
      </w:tr>
      <w:tr>
        <w:tc>
          <w:tcPr>
            <w:tcW w:type="dxa" w:w="2268"/>
          </w:tcPr>
          <w:p>
            <w:r>
              <w:rPr>
                <w:rFonts w:ascii="Times New Roman" w:hAnsi="Times New Roman"/>
                <w:sz w:val="20"/>
              </w:rPr>
              <w:t>H1</w:t>
            </w:r>
          </w:p>
        </w:tc>
        <w:tc>
          <w:tcPr>
            <w:tcW w:type="dxa" w:w="2268"/>
          </w:tcPr>
          <w:p>
            <w:r>
              <w:rPr>
                <w:rFonts w:ascii="Times New Roman" w:hAnsi="Times New Roman"/>
                <w:sz w:val="20"/>
              </w:rPr>
              <w:t>Gewerbepark Siemensring</w:t>
            </w:r>
          </w:p>
        </w:tc>
        <w:tc>
          <w:tcPr>
            <w:tcW w:type="dxa" w:w="2268"/>
          </w:tcPr>
          <w:p>
            <w:r>
              <w:rPr>
                <w:rFonts w:ascii="Times New Roman" w:hAnsi="Times New Roman"/>
                <w:sz w:val="20"/>
              </w:rPr>
              <w:t>0+380</w:t>
            </w:r>
          </w:p>
        </w:tc>
        <w:tc>
          <w:tcPr>
            <w:tcW w:type="dxa" w:w="2268"/>
          </w:tcPr>
          <w:p>
            <w:r>
              <w:rPr>
                <w:rFonts w:ascii="Times New Roman" w:hAnsi="Times New Roman"/>
                <w:sz w:val="20"/>
              </w:rPr>
              <w:t>straßenbündig, barrierefrei</w:t>
            </w:r>
          </w:p>
        </w:tc>
      </w:tr>
      <w:tr>
        <w:tc>
          <w:tcPr>
            <w:tcW w:type="dxa" w:w="2268"/>
          </w:tcPr>
          <w:p>
            <w:r>
              <w:rPr>
                <w:rFonts w:ascii="Times New Roman" w:hAnsi="Times New Roman"/>
                <w:sz w:val="20"/>
              </w:rPr>
              <w:t>H2</w:t>
            </w:r>
          </w:p>
        </w:tc>
        <w:tc>
          <w:tcPr>
            <w:tcW w:type="dxa" w:w="2268"/>
          </w:tcPr>
          <w:p>
            <w:r>
              <w:rPr>
                <w:rFonts w:ascii="Times New Roman" w:hAnsi="Times New Roman"/>
                <w:sz w:val="20"/>
              </w:rPr>
              <w:t>Kleingärten West</w:t>
            </w:r>
          </w:p>
        </w:tc>
        <w:tc>
          <w:tcPr>
            <w:tcW w:type="dxa" w:w="2268"/>
          </w:tcPr>
          <w:p>
            <w:r>
              <w:rPr>
                <w:rFonts w:ascii="Times New Roman" w:hAnsi="Times New Roman"/>
                <w:sz w:val="20"/>
              </w:rPr>
              <w:t>0+860</w:t>
            </w:r>
          </w:p>
        </w:tc>
        <w:tc>
          <w:tcPr>
            <w:tcW w:type="dxa" w:w="2268"/>
          </w:tcPr>
          <w:p>
            <w:r>
              <w:rPr>
                <w:rFonts w:ascii="Times New Roman" w:hAnsi="Times New Roman"/>
                <w:sz w:val="20"/>
              </w:rPr>
              <w:t>straßenbündig, beeinflusst Parzelle 7/12</w:t>
            </w:r>
          </w:p>
        </w:tc>
      </w:tr>
      <w:tr>
        <w:tc>
          <w:tcPr>
            <w:tcW w:type="dxa" w:w="2268"/>
          </w:tcPr>
          <w:p>
            <w:r>
              <w:rPr>
                <w:rFonts w:ascii="Times New Roman" w:hAnsi="Times New Roman"/>
                <w:sz w:val="20"/>
              </w:rPr>
              <w:t>H3</w:t>
            </w:r>
          </w:p>
        </w:tc>
        <w:tc>
          <w:tcPr>
            <w:tcW w:type="dxa" w:w="2268"/>
          </w:tcPr>
          <w:p>
            <w:r>
              <w:rPr>
                <w:rFonts w:ascii="Times New Roman" w:hAnsi="Times New Roman"/>
                <w:sz w:val="20"/>
              </w:rPr>
              <w:t>Westpark-Nord</w:t>
            </w:r>
          </w:p>
        </w:tc>
        <w:tc>
          <w:tcPr>
            <w:tcW w:type="dxa" w:w="2268"/>
          </w:tcPr>
          <w:p>
            <w:r>
              <w:rPr>
                <w:rFonts w:ascii="Times New Roman" w:hAnsi="Times New Roman"/>
                <w:sz w:val="20"/>
              </w:rPr>
              <w:t>1+540</w:t>
            </w:r>
          </w:p>
        </w:tc>
        <w:tc>
          <w:tcPr>
            <w:tcW w:type="dxa" w:w="2268"/>
          </w:tcPr>
          <w:p>
            <w:r>
              <w:rPr>
                <w:rFonts w:ascii="Times New Roman" w:hAnsi="Times New Roman"/>
                <w:sz w:val="20"/>
              </w:rPr>
              <w:t>eigenständiger Gleiskörper</w:t>
            </w:r>
          </w:p>
        </w:tc>
      </w:tr>
      <w:tr>
        <w:tc>
          <w:tcPr>
            <w:tcW w:type="dxa" w:w="2268"/>
          </w:tcPr>
          <w:p>
            <w:r>
              <w:rPr>
                <w:rFonts w:ascii="Times New Roman" w:hAnsi="Times New Roman"/>
                <w:sz w:val="20"/>
              </w:rPr>
              <w:t>H4</w:t>
            </w:r>
          </w:p>
        </w:tc>
        <w:tc>
          <w:tcPr>
            <w:tcW w:type="dxa" w:w="2268"/>
          </w:tcPr>
          <w:p>
            <w:r>
              <w:rPr>
                <w:rFonts w:ascii="Times New Roman" w:hAnsi="Times New Roman"/>
                <w:sz w:val="20"/>
              </w:rPr>
              <w:t>Westpark-Mitte (Endstelle)</w:t>
            </w:r>
          </w:p>
        </w:tc>
        <w:tc>
          <w:tcPr>
            <w:tcW w:type="dxa" w:w="2268"/>
          </w:tcPr>
          <w:p>
            <w:r>
              <w:rPr>
                <w:rFonts w:ascii="Times New Roman" w:hAnsi="Times New Roman"/>
                <w:sz w:val="20"/>
              </w:rPr>
              <w:t>2+640</w:t>
            </w:r>
          </w:p>
        </w:tc>
        <w:tc>
          <w:tcPr>
            <w:tcW w:type="dxa" w:w="2268"/>
          </w:tcPr>
          <w:p>
            <w:r>
              <w:rPr>
                <w:rFonts w:ascii="Times New Roman" w:hAnsi="Times New Roman"/>
                <w:sz w:val="20"/>
              </w:rPr>
              <w:t>Wendeschleife, P+R-Anlage 80 Stpl.</w:t>
            </w:r>
          </w:p>
        </w:tc>
      </w:tr>
    </w:tbl>
    <w:p>
      <w:pPr>
        <w:pStyle w:val="Heading3"/>
      </w:pPr>
      <w:r>
        <w:rPr>
          <w:rFonts w:ascii="Times New Roman" w:hAnsi="Times New Roman"/>
        </w:rPr>
        <w:t>2.2 Betriebliche Eckdaten</w:t>
      </w:r>
    </w:p>
    <w:p>
      <w:pPr>
        <w:pStyle w:val="ListBullet"/>
      </w:pPr>
      <w:r>
        <w:t>Streckenlänge (Variante B): 2,64 km (ohne Verlängerungsoption)</w:t>
      </w:r>
    </w:p>
    <w:p>
      <w:pPr>
        <w:pStyle w:val="ListBullet"/>
      </w:pPr>
      <w:r>
        <w:t>Fahrzeitgewinn gegenüber Busersatz (Linie 107): ca. 4 Minuten je Fahrt</w:t>
      </w:r>
    </w:p>
    <w:p>
      <w:pPr>
        <w:pStyle w:val="ListBullet"/>
      </w:pPr>
      <w:r>
        <w:t>Prognostiziertes Fahrgastpotenzial (2030): 8.400 Fahrgäste/Tag (Quelle: Verkehrsgutachten Ing.-Büro Hartmann &amp; Böhm, April 2024)</w:t>
      </w:r>
    </w:p>
    <w:p>
      <w:pPr>
        <w:pStyle w:val="ListBullet"/>
      </w:pPr>
      <w:r>
        <w:t>Taktfolge: 7,5 Minuten im Tagesverkehr (Mo–Fr 06:00–20:00 Uhr), 15 Minuten abends und am Wochenende</w:t>
      </w:r>
    </w:p>
    <w:p>
      <w:pPr>
        <w:pStyle w:val="ListBullet"/>
      </w:pPr>
      <w:r>
        <w:t>Fahrzeugbedarf: 2 zusätzliche Fahrzeuge (Flexity-2-Variante, Länge 32 m, Niederflur)</w:t>
      </w:r>
    </w:p>
    <w:p>
      <w:pPr>
        <w:pStyle w:val="ListBullet"/>
      </w:pPr>
      <w:r>
        <w:t>Energiebedarf: ca. 1,1 GWh/Jahr (Gleichstrom 600 V, Unterwerk Siemensring ist ausreichend dimensioniert)</w:t>
      </w:r>
    </w:p>
    <w:p/>
    <w:p>
      <w:pPr>
        <w:pStyle w:val="Heading2"/>
      </w:pPr>
      <w:r>
        <w:rPr>
          <w:rFonts w:ascii="Times New Roman" w:hAnsi="Times New Roman"/>
        </w:rPr>
        <w:t>3. Variantenvergleich aus betrieblicher Sicht</w:t>
      </w:r>
    </w:p>
    <w:p>
      <w:pPr>
        <w:pStyle w:val="Heading3"/>
      </w:pPr>
      <w:r>
        <w:rPr>
          <w:rFonts w:ascii="Times New Roman" w:hAnsi="Times New Roman"/>
        </w:rPr>
        <w:t>3.1 Variante A (Nordtrasse)</w:t>
      </w:r>
    </w:p>
    <w:p>
      <w:pPr>
        <w:jc w:val="left"/>
      </w:pPr>
      <w:r>
        <w:t>Variante A verläuft direkt durch die Gartenstraße und hätte aus betrieblicher Sicht den Vorteil kürzerer Bauzeiten und geringerer Anfangskosten. Die VBF sieht jedoch zwei wesentliche Nachteile: Erstens ist die Gartenstraße mit einer Fahrbahnbreite von 6,50 m für den straßenbündigen Straßenbahnbetrieb zu schmal; eine Verbreiterung würde den vollständigen Rückschnitt der stadtbildprägenden Lindenallee erfordern, was nach vorläufiger Einschätzung der unteren Naturschutzbehörde nicht kompensierbar ist. Zweitens liegt die Haltestelle "Schule Nord" in Variante A im unmittelbaren Einmündungsbereich, was Konfliktpotenzial mit dem Schulverkehr erzeugt.</w:t>
      </w:r>
    </w:p>
    <w:p>
      <w:pPr>
        <w:pStyle w:val="Heading3"/>
      </w:pPr>
      <w:r>
        <w:rPr>
          <w:rFonts w:ascii="Times New Roman" w:hAnsi="Times New Roman"/>
        </w:rPr>
        <w:t>3.2 Variante C (mit Tunnelabschnitt)</w:t>
      </w:r>
    </w:p>
    <w:p>
      <w:pPr>
        <w:jc w:val="left"/>
      </w:pPr>
      <w:r>
        <w:t>Variante C bietet die beste betriebliche Leistungsfähigkeit (kein Lichtsignalkonflikte auf dem Tunnelabschnitt, höhere Reisegeschwindigkeit). Aus Sicht der VBF ist Variante C mittel- bis langfristig die qualitativ hochwertigste Lösung. Aufgrund der Mehrkosten von ca. 13,6 Mio. Euro gegenüber Variante B und des damit verbundenen Unterschreitens der GVFG-Förderquote scheidet Variante C in der aktuellen Haushaltsphase jedoch aus.</w:t>
      </w:r>
    </w:p>
    <w:p>
      <w:pPr>
        <w:pStyle w:val="Heading3"/>
      </w:pPr>
      <w:r>
        <w:rPr>
          <w:rFonts w:ascii="Times New Roman" w:hAnsi="Times New Roman"/>
        </w:rPr>
        <w:t>3.3 Vorzugsvariante B – Bewertung VBF</w:t>
      </w:r>
    </w:p>
    <w:p>
      <w:pPr>
        <w:jc w:val="left"/>
      </w:pPr>
      <w:r>
        <w:t>Die VBF befürwortet Variante B als betrieblich tragfähige Lösung, die eine gute Erschließungswirkung mit vertretbarem Eingriff verbindet. Die Beeinträchtigung durch die erforderliche Umlegung des 110-kV-Kabels (Abschnitt km 0+320 bis km 0+460) ist mit dem zuständigen Netzbetreiber (Westmark Netz GmbH) bereits vorabgestimmt; eine Kostenbeteiligung des Netzbetreibers in Höhe von 30 % der Umlegekosten (ca. 180.000 Euro) ist mündlich in Aussicht gestellt.</w:t>
      </w:r>
    </w:p>
    <w:p/>
    <w:p>
      <w:pPr>
        <w:pStyle w:val="Heading2"/>
      </w:pPr>
      <w:r>
        <w:rPr>
          <w:rFonts w:ascii="Times New Roman" w:hAnsi="Times New Roman"/>
        </w:rPr>
        <w:t>4. Betroffenenanalyse</w:t>
      </w:r>
    </w:p>
    <w:p>
      <w:pPr>
        <w:pStyle w:val="Heading3"/>
      </w:pPr>
      <w:r>
        <w:rPr>
          <w:rFonts w:ascii="Times New Roman" w:hAnsi="Times New Roman"/>
        </w:rPr>
        <w:t>4.1 Grundstücksbetroffene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Flurstück</w:t>
            </w:r>
          </w:p>
        </w:tc>
        <w:tc>
          <w:tcPr>
            <w:tcW w:type="dxa" w:w="2268"/>
          </w:tcPr>
          <w:p>
            <w:r>
              <w:rPr>
                <w:rFonts w:ascii="Times New Roman" w:hAnsi="Times New Roman"/>
                <w:b/>
                <w:sz w:val="20"/>
              </w:rPr>
              <w:t>Eigentümer (anonymisiert)</w:t>
            </w:r>
          </w:p>
        </w:tc>
        <w:tc>
          <w:tcPr>
            <w:tcW w:type="dxa" w:w="2268"/>
          </w:tcPr>
          <w:p>
            <w:r>
              <w:rPr>
                <w:rFonts w:ascii="Times New Roman" w:hAnsi="Times New Roman"/>
                <w:b/>
                <w:sz w:val="20"/>
              </w:rPr>
              <w:t>Art der Betroffenheit</w:t>
            </w:r>
          </w:p>
        </w:tc>
        <w:tc>
          <w:tcPr>
            <w:tcW w:type="dxa" w:w="2268"/>
          </w:tcPr>
          <w:p>
            <w:r>
              <w:rPr>
                <w:rFonts w:ascii="Times New Roman" w:hAnsi="Times New Roman"/>
                <w:b/>
                <w:sz w:val="20"/>
              </w:rPr>
              <w:t>Fläche</w:t>
            </w:r>
          </w:p>
        </w:tc>
      </w:tr>
      <w:tr>
        <w:tc>
          <w:tcPr>
            <w:tcW w:type="dxa" w:w="2268"/>
          </w:tcPr>
          <w:p>
            <w:r>
              <w:rPr>
                <w:rFonts w:ascii="Times New Roman" w:hAnsi="Times New Roman"/>
                <w:sz w:val="20"/>
              </w:rPr>
              <w:t>Gemarkung Westpark, Flur 7, Parzelle 7/12</w:t>
            </w:r>
          </w:p>
        </w:tc>
        <w:tc>
          <w:tcPr>
            <w:tcW w:type="dxa" w:w="2268"/>
          </w:tcPr>
          <w:p>
            <w:r>
              <w:rPr>
                <w:rFonts w:ascii="Times New Roman" w:hAnsi="Times New Roman"/>
                <w:sz w:val="20"/>
              </w:rPr>
              <w:t>Kleingärtnerverein West e.V. (Erbbauberechtigter)</w:t>
            </w:r>
          </w:p>
        </w:tc>
        <w:tc>
          <w:tcPr>
            <w:tcW w:type="dxa" w:w="2268"/>
          </w:tcPr>
          <w:p>
            <w:r>
              <w:rPr>
                <w:rFonts w:ascii="Times New Roman" w:hAnsi="Times New Roman"/>
                <w:sz w:val="20"/>
              </w:rPr>
              <w:t>Vollbeanspruchung Teilfläche, Erbbaurecht bis 2028</w:t>
            </w:r>
          </w:p>
        </w:tc>
        <w:tc>
          <w:tcPr>
            <w:tcW w:type="dxa" w:w="2268"/>
          </w:tcPr>
          <w:p>
            <w:r>
              <w:rPr>
                <w:rFonts w:ascii="Times New Roman" w:hAnsi="Times New Roman"/>
                <w:sz w:val="20"/>
              </w:rPr>
              <w:t>ca. 1.400 m²</w:t>
            </w:r>
          </w:p>
        </w:tc>
      </w:tr>
      <w:tr>
        <w:tc>
          <w:tcPr>
            <w:tcW w:type="dxa" w:w="2268"/>
          </w:tcPr>
          <w:p>
            <w:r>
              <w:rPr>
                <w:rFonts w:ascii="Times New Roman" w:hAnsi="Times New Roman"/>
                <w:sz w:val="20"/>
              </w:rPr>
              <w:t>Gemarkung Siemensring, Flur 3, Parzelle 3/88</w:t>
            </w:r>
          </w:p>
        </w:tc>
        <w:tc>
          <w:tcPr>
            <w:tcW w:type="dxa" w:w="2268"/>
          </w:tcPr>
          <w:p>
            <w:r>
              <w:rPr>
                <w:rFonts w:ascii="Times New Roman" w:hAnsi="Times New Roman"/>
                <w:sz w:val="20"/>
              </w:rPr>
              <w:t>Gewerbebetrieb Metallbau Steinert GmbH</w:t>
            </w:r>
          </w:p>
        </w:tc>
        <w:tc>
          <w:tcPr>
            <w:tcW w:type="dxa" w:w="2268"/>
          </w:tcPr>
          <w:p>
            <w:r>
              <w:rPr>
                <w:rFonts w:ascii="Times New Roman" w:hAnsi="Times New Roman"/>
                <w:sz w:val="20"/>
              </w:rPr>
              <w:t>Einschränkung Zufahrt während Bauphase (ca. 8 Monate)</w:t>
            </w:r>
          </w:p>
        </w:tc>
        <w:tc>
          <w:tcPr>
            <w:tcW w:type="dxa" w:w="2268"/>
          </w:tcPr>
          <w:p>
            <w:r>
              <w:rPr>
                <w:rFonts w:ascii="Times New Roman" w:hAnsi="Times New Roman"/>
                <w:sz w:val="20"/>
              </w:rPr>
              <w:t>keine dauerhafte Fläche</w:t>
            </w:r>
          </w:p>
        </w:tc>
      </w:tr>
      <w:tr>
        <w:tc>
          <w:tcPr>
            <w:tcW w:type="dxa" w:w="2268"/>
          </w:tcPr>
          <w:p>
            <w:r>
              <w:rPr>
                <w:rFonts w:ascii="Times New Roman" w:hAnsi="Times New Roman"/>
                <w:sz w:val="20"/>
              </w:rPr>
              <w:t>Gemarkung Siemensring, Flur 3, Parzelle 3/91</w:t>
            </w:r>
          </w:p>
        </w:tc>
        <w:tc>
          <w:tcPr>
            <w:tcW w:type="dxa" w:w="2268"/>
          </w:tcPr>
          <w:p>
            <w:r>
              <w:rPr>
                <w:rFonts w:ascii="Times New Roman" w:hAnsi="Times New Roman"/>
                <w:sz w:val="20"/>
              </w:rPr>
              <w:t>Privat (Wohngebäude)</w:t>
            </w:r>
          </w:p>
        </w:tc>
        <w:tc>
          <w:tcPr>
            <w:tcW w:type="dxa" w:w="2268"/>
          </w:tcPr>
          <w:p>
            <w:r>
              <w:rPr>
                <w:rFonts w:ascii="Times New Roman" w:hAnsi="Times New Roman"/>
                <w:sz w:val="20"/>
              </w:rPr>
              <w:t>Leitungsrecht Gleichstromkabel (Leitungsrecht dauerhaft)</w:t>
            </w:r>
          </w:p>
        </w:tc>
        <w:tc>
          <w:tcPr>
            <w:tcW w:type="dxa" w:w="2268"/>
          </w:tcPr>
          <w:p>
            <w:r>
              <w:rPr>
                <w:rFonts w:ascii="Times New Roman" w:hAnsi="Times New Roman"/>
                <w:sz w:val="20"/>
              </w:rPr>
              <w:t>ca. 12 m² (Leitungsrecht)</w:t>
            </w:r>
          </w:p>
        </w:tc>
      </w:tr>
    </w:tbl>
    <w:p>
      <w:pPr>
        <w:jc w:val="left"/>
      </w:pPr>
      <w:r>
        <w:t>Der Erwerb der Kleingartenparzelle 7/12 ist der wesentliche eigentumsrechtliche Konfliktpunkt. Die VBF empfiehlt, frühzeitig das Gespräch mit dem Kleingärtnerverein zu suchen und eine Ersatzparzelle im nahegelegenen Kleingartengelände Süd (Parzelle 4/02, derzeit nicht vergeben) anzubieten.</w:t>
      </w:r>
    </w:p>
    <w:p>
      <w:pPr>
        <w:pStyle w:val="Heading3"/>
      </w:pPr>
      <w:r>
        <w:rPr>
          <w:rFonts w:ascii="Times New Roman" w:hAnsi="Times New Roman"/>
        </w:rPr>
        <w:t>4.2 Gewerbetreibende</w:t>
      </w:r>
    </w:p>
    <w:p>
      <w:pPr>
        <w:jc w:val="left"/>
      </w:pPr>
      <w:r>
        <w:t>Im Bereich des Gewerbeparks Siemensring sind während der Bauphase Einschränkungen der Zufahrten und erhöhte Lärmimmissionen zu erwarten. Betroffen sind:</w:t>
      </w:r>
    </w:p>
    <w:p>
      <w:pPr>
        <w:pStyle w:val="ListBullet"/>
      </w:pPr>
      <w:r>
        <w:t>Metallbau Steinert GmbH (Hauptnutzer Zufahrt Siemensring Nord)</w:t>
      </w:r>
    </w:p>
    <w:p>
      <w:pPr>
        <w:pStyle w:val="ListBullet"/>
      </w:pPr>
      <w:r>
        <w:t>Logistikdienstleister Hempel &amp; Co. KG (Tageszufahrten ca. 45 Lkw/Tag)</w:t>
      </w:r>
    </w:p>
    <w:p>
      <w:pPr>
        <w:pStyle w:val="ListBullet"/>
      </w:pPr>
      <w:r>
        <w:t>Autowerkstatt Faber GmbH (direkte Anlieferung Ersatzteile aus Lieferverkehr)</w:t>
      </w:r>
    </w:p>
    <w:p>
      <w:pPr>
        <w:jc w:val="left"/>
      </w:pPr>
      <w:r>
        <w:t>Die VBF sieht im Bauzeitenplan Einschränkungen der Nachtarbeit auf das unvermeidbare Minimum vor; Hauptarbeiten sollen werktags zwischen 07:00 und 18:00 Uhr stattfinden.</w:t>
      </w:r>
    </w:p>
    <w:p>
      <w:pPr>
        <w:pStyle w:val="Heading3"/>
      </w:pPr>
      <w:r>
        <w:rPr>
          <w:rFonts w:ascii="Times New Roman" w:hAnsi="Times New Roman"/>
        </w:rPr>
        <w:t>4.3 Kleingärten</w:t>
      </w:r>
    </w:p>
    <w:p>
      <w:pPr>
        <w:jc w:val="left"/>
      </w:pPr>
      <w:r>
        <w:t>Der Kleingartenverein West e.V. hat in einer informellen Vorgespräch (15.07.2024) signalisiert, dass er einer Umsiedlung der betroffenen Parzelle grundsätzlich nicht abgeneigt sei, jedoch Ersatzland mit gleicher Bonität fordere. Formale Einwendungen im Planfeststellungsverfahren sind gleichwohl zu erwarten.</w:t>
      </w:r>
    </w:p>
    <w:p>
      <w:pPr>
        <w:pStyle w:val="Heading3"/>
      </w:pPr>
      <w:r>
        <w:rPr>
          <w:rFonts w:ascii="Times New Roman" w:hAnsi="Times New Roman"/>
        </w:rPr>
        <w:t>4.4 Schulstandort Grundschule Nord (Variante B)</w:t>
      </w:r>
    </w:p>
    <w:p>
      <w:pPr>
        <w:jc w:val="left"/>
      </w:pPr>
      <w:r>
        <w:t>In der Vorzugsvariante B liegt die nächste neue Haltestelle (H2 "Kleingärten West") ca. 320 m von der Grundschule Nord entfernt. Dies verbessert die ÖPNV-Erreichbarkeit der Schule gegenüber dem Busangebot. Die Schulleitung hat in einer Vorabstimmung (Protokoll vom 18.06.2024) Interesse bekundet, für Schüler des Einzugsgebiets Westpark eine Schülermonatskarte in Kooperation mit VBF anzubieten.</w:t>
      </w:r>
    </w:p>
    <w:p/>
    <w:p>
      <w:pPr>
        <w:pStyle w:val="Heading2"/>
      </w:pPr>
      <w:r>
        <w:rPr>
          <w:rFonts w:ascii="Times New Roman" w:hAnsi="Times New Roman"/>
        </w:rPr>
        <w:t>5. Schnittstellen Ladeinfrastruktur und Verkehrsbetrieb</w:t>
      </w:r>
    </w:p>
    <w:p>
      <w:pPr>
        <w:jc w:val="left"/>
      </w:pPr>
      <w:r>
        <w:t>Die VBF weist darauf hin, dass die geplanten DC-Schnelllader (4 Einheiten, 150 kW je) im Bereich des künftigen P+R-Parkplatzes Westpark-Mitte betrieben werden sollen. Dies ist betrieblich sinnvoll, da dort ohnehin eine Gleichstromeinspeisung für den Bahnbetrieb besteht. Technisch ist die Parallelnutzung des Unterwerks für Straßenbahn und Pkw-Ladeinfrastruktur nach Rücksprache mit dem Elektrotechnikbüro Wagner &amp; Partner (Gutachten Juli 2024) möglich, wenn eine getrennte Transformatoreneinheit vorgesehen wird (Mehrkosten ca. 95.000 Euro). Die VBF empfiehlt, diese Synergie im Planfeststellungsantrag darzustellen und dem Stadtwerk Friedrichshöfe als Betreiber der Ladeinfrastruktur vertraglich zu sichern.</w:t>
      </w:r>
    </w:p>
    <w:p/>
    <w:p>
      <w:pPr>
        <w:pStyle w:val="Heading2"/>
      </w:pPr>
      <w:r>
        <w:rPr>
          <w:rFonts w:ascii="Times New Roman" w:hAnsi="Times New Roman"/>
        </w:rPr>
        <w:t>6. Empfehlungen der VBF</w:t>
      </w:r>
    </w:p>
    <w:p>
      <w:pPr>
        <w:pStyle w:val="ListNumber"/>
      </w:pPr>
      <w:r>
        <w:t>Vorzugsvariante B in die Planfeststellungsunterlagen aufnehmen.</w:t>
      </w:r>
    </w:p>
    <w:p>
      <w:pPr>
        <w:pStyle w:val="ListNumber"/>
      </w:pPr>
      <w:r>
        <w:t>Frühzeitige freihändige Grunderwerbsverhandlungen mit dem Kleingärtnerverein West e.V. aufnehmen; Ersatzparzelle anbieten.</w:t>
      </w:r>
    </w:p>
    <w:p>
      <w:pPr>
        <w:pStyle w:val="ListNumber"/>
      </w:pPr>
      <w:r>
        <w:t>Koordinationsgespräch mit Westmark Netz GmbH zur Leitungsumlegung führen.</w:t>
      </w:r>
    </w:p>
    <w:p>
      <w:pPr>
        <w:pStyle w:val="ListNumber"/>
      </w:pPr>
      <w:r>
        <w:t>Synergiepotenzial Ladeinfrastruktur / Unterwerk in Planfeststellungsantrag integrieren.</w:t>
      </w:r>
    </w:p>
    <w:p>
      <w:pPr>
        <w:pStyle w:val="ListNumber"/>
      </w:pPr>
      <w:r>
        <w:t>Bauzeitenplan mit Gewerbetreibenden Siemensring abstimmen; schriftliche Vereinbarung über Zufahrtsrechte während der Bauphase schließen.</w:t>
      </w:r>
    </w:p>
    <w:p>
      <w:pPr>
        <w:pStyle w:val="ListNumber"/>
      </w:pPr>
      <w:r>
        <w:t>Erörterungstermin auf Oktober 2026 terminieren; hierfür ausreichend personelle Ressourcen im Planungsamt und bei VBF einplanen.</w:t>
      </w:r>
    </w:p>
    <w:p/>
    <w:p>
      <w:pPr>
        <w:pStyle w:val="Heading2"/>
      </w:pPr>
      <w:r>
        <w:rPr>
          <w:rFonts w:ascii="Times New Roman" w:hAnsi="Times New Roman"/>
        </w:rPr>
        <w:t>7. Fazit</w:t>
      </w:r>
    </w:p>
    <w:p>
      <w:pPr>
        <w:jc w:val="left"/>
      </w:pPr>
      <w:r>
        <w:t>Die Vorzugsvariante B ist aus Sicht der VBF betrieblich, verkehrlich und wirtschaftlich die geeignetste Lösung für die Verlängerung der Linie 7 in den Westpark. Die identifizierten Betroffenheiten sind lösbar. Die VBF steht für alle weiteren Abstimmungen zur Verfügung.</w:t>
      </w:r>
    </w:p>
    <w:p/>
    <w:p>
      <w:pPr>
        <w:jc w:val="left"/>
      </w:pPr>
      <w:r>
        <w:rPr>
          <w:i/>
        </w:rPr>
        <w:t>Verkehrsbetriebe Friedrichshöfe GmbH</w:t>
      </w:r>
    </w:p>
    <w:p>
      <w:pPr>
        <w:jc w:val="left"/>
      </w:pPr>
      <w:r>
        <w:rPr>
          <w:i/>
        </w:rPr>
        <w:t>Bereich Planung und Infrastruktur</w:t>
      </w:r>
    </w:p>
    <w:p>
      <w:pPr>
        <w:jc w:val="left"/>
      </w:pPr>
      <w:r>
        <w:rPr>
          <w:i/>
        </w:rPr>
        <w:t>Dipl.-Ing. Christoph Adler, Leiter Infrastrukturplanung</w:t>
      </w:r>
    </w:p>
    <w:p>
      <w:pPr>
        <w:jc w:val="left"/>
      </w:pPr>
      <w:r>
        <w:rPr>
          <w:i/>
        </w:rPr>
        <w:t>Friedrichshöfe, 14. August 2024</w:t>
      </w:r>
    </w:p>
    <w:p/>
    <w:p>
      <w:pPr>
        <w:jc w:val="left"/>
      </w:pPr>
      <w:r>
        <w:rPr>
          <w:b/>
        </w:rPr>
        <w:t>Anlagen:</w:t>
      </w:r>
    </w:p>
    <w:p>
      <w:pPr>
        <w:pStyle w:val="ListBullet"/>
      </w:pPr>
      <w:r>
        <w:t>Anlage 1: Betrieblicher Erläuterungsbericht Linie 7 Westast (VBF-intern)</w:t>
      </w:r>
    </w:p>
    <w:p>
      <w:pPr>
        <w:pStyle w:val="ListBullet"/>
      </w:pPr>
      <w:r>
        <w:t>Anlage 2: Haltestellenblätter H1–H4 (Vorplanungsstand)</w:t>
      </w:r>
    </w:p>
    <w:p>
      <w:pPr>
        <w:pStyle w:val="ListBullet"/>
      </w:pPr>
      <w:r>
        <w:t>Anlage 3: Grunderwerbsplan Vorzugsvariante B (M 1:2.500)</w:t>
      </w:r>
    </w:p>
    <w:p>
      <w:pPr>
        <w:pStyle w:val="ListBullet"/>
      </w:pPr>
      <w:r>
        <w:t>Anlage 4: Auszug Gutachten Wagner &amp; Partner – Unterwerk Siemensring (Juli 2024)</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Verkehrsbetriebe Friedrichshöfe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Verkehrsbetriebe Friedrichshöfe GmbH</w:t>
    </w:r>
  </w:p>
  <w:p>
    <w:pPr>
      <w:jc w:val="left"/>
      <w:pBdr>
        <w:bottom w:val="single" w:sz="6" w:space="2" w:color="7B2D3B"/>
      </w:pBdr>
    </w:pPr>
    <w:r>
      <w:rPr>
        <w:rFonts w:ascii="Times New Roman" w:hAnsi="Times New Roman"/>
        <w:color w:val="6B6B66"/>
        <w:sz w:val="16"/>
      </w:rPr>
      <w:t>Unternehmen · Aktenzeichen: VBF-PL-2024/L7-003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