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Anhörungsbogen — AZ NIBOWS-188-A-4711-26</w:t>
      </w:r>
    </w:p>
    <w:p>
      <w:pPr>
        <w:jc w:val="left"/>
      </w:pPr>
      <w:r>
        <w:t>Behörde: Bußgeldstelle Land Niedersachsen, Göttinger Chaussee 76A, 30453 Hannover</w:t>
      </w:r>
    </w:p>
    <w:p>
      <w:pPr>
        <w:jc w:val="left"/>
      </w:pPr>
      <w:r>
        <w:t>Datum Anhörungsbogen: 07.02.2026</w:t>
      </w:r>
    </w:p>
    <w:p>
      <w:pPr>
        <w:jc w:val="left"/>
      </w:pPr>
      <w:r>
        <w:t>Datum Eingang bei Mandant: 11.02.2026 (laut Poststempel; eigener Vermerk Mandant)</w:t>
      </w:r>
    </w:p>
    <w:p/>
    <w:p>
      <w:pPr>
        <w:pStyle w:val="Heading2"/>
      </w:pPr>
      <w:r>
        <w:rPr>
          <w:rFonts w:ascii="Times New Roman" w:hAnsi="Times New Roman"/>
        </w:rPr>
        <w:t>Tatvorwurf laut Anhörungsbogen</w:t>
      </w:r>
    </w:p>
    <w:p>
      <w:pPr>
        <w:jc w:val="left"/>
      </w:pPr>
      <w:r>
        <w:rPr>
          <w:b/>
        </w:rPr>
        <w:t>AZ:</w:t>
      </w:r>
      <w:r>
        <w:t xml:space="preserve"> NIBOWS-188-A-4711-26</w:t>
      </w:r>
    </w:p>
    <w:p>
      <w:pPr>
        <w:jc w:val="left"/>
      </w:pPr>
      <w:r>
        <w:rPr>
          <w:b/>
        </w:rPr>
        <w:t>Tatzeit:</w:t>
      </w:r>
      <w:r>
        <w:t xml:space="preserve"> 04.02.2026, 14:22 Uhr</w:t>
      </w:r>
    </w:p>
    <w:p>
      <w:pPr>
        <w:jc w:val="left"/>
      </w:pPr>
      <w:r>
        <w:rPr>
          <w:b/>
        </w:rPr>
        <w:t>Tatort:</w:t>
      </w:r>
      <w:r>
        <w:t xml:space="preserve"> BAB 7, km 187,4, Höhe Bispingen, Fahrtrichtung Süden</w:t>
      </w:r>
    </w:p>
    <w:p>
      <w:pPr>
        <w:jc w:val="left"/>
      </w:pPr>
      <w:r>
        <w:rPr>
          <w:b/>
        </w:rPr>
        <w:t>Zuständige Polizeidienststelle:</w:t>
      </w:r>
      <w:r>
        <w:t xml:space="preserve"> Polizeiautobahnstation Bispingen-Wietzendorf</w:t>
      </w:r>
    </w:p>
    <w:p>
      <w:pPr>
        <w:jc w:val="left"/>
      </w:pPr>
      <w:r>
        <w:rPr>
          <w:b/>
        </w:rPr>
        <w:t>Fahrzeug:</w:t>
      </w:r>
      <w:r>
        <w:t xml:space="preserve"> HH-NS 3201</w:t>
      </w:r>
    </w:p>
    <w:p>
      <w:pPr>
        <w:jc w:val="left"/>
      </w:pPr>
      <w:r>
        <w:rPr>
          <w:b/>
        </w:rPr>
        <w:t>Fahrzeughalter laut Anhörungsbogen:</w:t>
      </w:r>
      <w:r>
        <w:t xml:space="preserve"> Norderhof Spedition GmbH, Holstenstraße 202, 22767 Hamburg</w:t>
      </w:r>
    </w:p>
    <w:p>
      <w:pPr>
        <w:jc w:val="left"/>
      </w:pPr>
      <w:r>
        <w:rPr>
          <w:b/>
        </w:rPr>
        <w:t>Vorwurf 1 — Abstand:</w:t>
      </w:r>
    </w:p>
    <w:p>
      <w:pPr>
        <w:jc w:val="left"/>
      </w:pPr>
      <w:r>
        <w:t>Innerorts einer geschlossenen Ortschaft bzw. auf einer Strecke mit Geschwindigkeitsbegrenzung 100 km/h ist der Fahrzeugführer des Sattelzuges HH-NS 3201 mit einem Abstand zum vorausfahrenden Fahrzeug gefahren, der weniger als die Hälfte des halben Tachowerts betrug. Gemessener Abstand: 28 m. Erforderlicher Mindestabstand bei 100 km/h: 50 m (halber Tachowert). Messung erfolgte per Brückenabstandsmessverfahren (BAMV), Messreihe 188, Anlage BAB 7 km 187,4.</w:t>
      </w:r>
    </w:p>
    <w:p>
      <w:pPr>
        <w:jc w:val="left"/>
      </w:pPr>
      <w:r>
        <w:t>Norm: § 4 Abs. 1 StVO, Nr. 12.6 BKat-Anlage (lfd. Nr. 12.6.3 LKW über 3,5 t, Abstand unter halber Tachowert bei mehr als 100 km/h)</w:t>
      </w:r>
    </w:p>
    <w:p>
      <w:pPr>
        <w:jc w:val="left"/>
      </w:pPr>
      <w:r>
        <w:t>Regelbuße: 240 EUR</w:t>
      </w:r>
    </w:p>
    <w:p>
      <w:pPr>
        <w:jc w:val="left"/>
      </w:pPr>
      <w:r>
        <w:t>Regelfahrverbot: 1 Monat</w:t>
      </w:r>
    </w:p>
    <w:p>
      <w:pPr>
        <w:jc w:val="left"/>
      </w:pPr>
      <w:r>
        <w:t>Punkte FAER: 2</w:t>
      </w:r>
    </w:p>
    <w:p>
      <w:pPr>
        <w:jc w:val="left"/>
      </w:pPr>
      <w:r>
        <w:rPr>
          <w:b/>
        </w:rPr>
        <w:t>Vorwurf 2 — Geschwindigkeit:</w:t>
      </w:r>
    </w:p>
    <w:p>
      <w:pPr>
        <w:jc w:val="left"/>
      </w:pPr>
      <w:r>
        <w:t>Auf derselben Strecke, innerhalb der Section-Control-Messstrecke (ZBV Speedcheck-XR), wurde eine Durchschnittsgeschwindigkeit von 117 km/h gemessen. Nach Abzug der Messtoleranz von 3 km/h ergibt sich eine vorzuhaltende Geschwindigkeit von 114 km/h. Zulässige Höchstgeschwindigkeit: 100 km/h (Zeichen 274, stationäres Schild).</w:t>
      </w:r>
    </w:p>
    <w:p>
      <w:pPr>
        <w:jc w:val="left"/>
      </w:pPr>
      <w:r>
        <w:t>Norm: § 41 Abs. 1 StVO i.V.m. Zeichen 274, § 24 StVG</w:t>
      </w:r>
    </w:p>
    <w:p>
      <w:pPr>
        <w:jc w:val="left"/>
      </w:pPr>
      <w:r>
        <w:t>Regelbuße (14 km/h über 100): 70 EUR (gesondert oder kumulativ — noch nicht abschließend ausgewiesen)</w:t>
      </w:r>
    </w:p>
    <w:p>
      <w:pPr>
        <w:jc w:val="left"/>
      </w:pPr>
      <w:r>
        <w:t>Punkte: 1 (gesondert; ggf. Zusammenrechnung mit Vorwurf 1)</w:t>
      </w:r>
    </w:p>
    <w:p>
      <w:pPr>
        <w:jc w:val="left"/>
      </w:pPr>
      <w:r>
        <w:rPr>
          <w:b/>
        </w:rPr>
        <w:t>Gesamtsanktion laut Anhörungsbogen (Vorläufig):</w:t>
      </w:r>
    </w:p>
    <w:p>
      <w:pPr>
        <w:jc w:val="left"/>
      </w:pPr>
      <w:r>
        <w:t>240 EUR Bußgeld, 2 Punkte FAER, 1 Monat Regelfahrverbot</w:t>
      </w:r>
    </w:p>
    <w:p/>
    <w:p>
      <w:pPr>
        <w:pStyle w:val="Heading2"/>
      </w:pPr>
      <w:r>
        <w:rPr>
          <w:rFonts w:ascii="Times New Roman" w:hAnsi="Times New Roman"/>
        </w:rPr>
        <w:t>Kanzleianalyse — Fristprüfung</w:t>
      </w:r>
    </w:p>
    <w:p>
      <w:pPr>
        <w:jc w:val="left"/>
      </w:pPr>
      <w:r>
        <w:t>Datum der Tat: 04.02.2026</w:t>
      </w:r>
    </w:p>
    <w:p>
      <w:pPr>
        <w:jc w:val="left"/>
      </w:pPr>
      <w:r>
        <w:t>Datum Anhörungsbogen: 07.02.2026</w:t>
      </w:r>
    </w:p>
    <w:p>
      <w:pPr>
        <w:jc w:val="left"/>
      </w:pPr>
      <w:r>
        <w:t>Zustellung angenommen: 11.02.2026</w:t>
      </w:r>
    </w:p>
    <w:p>
      <w:pPr>
        <w:jc w:val="left"/>
      </w:pPr>
      <w:r>
        <w:rPr>
          <w:b/>
        </w:rPr>
        <w:t>Verjährung § 26 III StVG:</w:t>
      </w:r>
    </w:p>
    <w:p>
      <w:pPr>
        <w:jc w:val="left"/>
      </w:pPr>
      <w:r>
        <w:t>Verjährungsfrist: 3 Monate ab Tatzeit für Verfolgungsverjährung; Unterbrechung durch Anhörungsschreiben (§ 33 OWiG). Anhörungsschreiben datiert auf 07.02.2026, d.h. ca. 3 Tage nach der Tat. Verjährung für die Tathandlung vom 04.02.2026 beginnt neu. Prüfung: Enthält das Anhörungsschreiben einen wirksamen Unterbrechungstatbestand? Das AZ lautet auf die GmbH als Halterin, nicht auf den Fahrer. Hier ist zu prüfen, ob die Anhörung des Halters die Verjährung gegen den Fahrer unterbricht — dies ist nach h.M. zu verneinen, wenn der Fahrer nicht selbst Adressat ist. Möglicher Einwand: Verjährung läuft ggf. weiter gegenüber dem Fahrer Norderhof-Tannenmoor, falls die Anhörung nur an die GmbH gerichtet war.</w:t>
      </w:r>
    </w:p>
    <w:p>
      <w:pPr>
        <w:jc w:val="left"/>
      </w:pPr>
      <w:r>
        <w:rPr>
          <w:b/>
        </w:rPr>
        <w:t>Frist Stellungnahme:</w:t>
      </w:r>
    </w:p>
    <w:p>
      <w:pPr>
        <w:jc w:val="left"/>
      </w:pPr>
      <w:r>
        <w:t>Frist im Anhörungsbogen: 14 Tage ab Zustellung = 25.02.2026. Kanzlei übernimmt Mandat am 19.02.2026; Mandant wird angewiesen, keine eigene Stellungnahme abzugeben. Kanzlei zeigt Vertretung an und kündigt Einspruch an.</w:t>
      </w:r>
    </w:p>
    <w:p/>
    <w:p>
      <w:pPr>
        <w:pStyle w:val="Heading2"/>
      </w:pPr>
      <w:r>
        <w:rPr>
          <w:rFonts w:ascii="Times New Roman" w:hAnsi="Times New Roman"/>
        </w:rPr>
        <w:t>Offene Prüfpunkte nach Akteneinsicht</w:t>
      </w:r>
    </w:p>
    <w:p>
      <w:pPr>
        <w:pStyle w:val="ListNumber"/>
      </w:pPr>
      <w:r>
        <w:t>Messdokumentation BAMV vollständig (Messreihenprotokoll, Gerätekalibrierung, Brückenabstand)?</w:t>
      </w:r>
    </w:p>
    <w:p>
      <w:pPr>
        <w:pStyle w:val="ListNumber"/>
      </w:pPr>
      <w:r>
        <w:t>Eichschein BAMV — Gültigkeitsdatum und Eichamt?</w:t>
      </w:r>
    </w:p>
    <w:p>
      <w:pPr>
        <w:pStyle w:val="ListNumber"/>
      </w:pPr>
      <w:r>
        <w:t>Eichschein Speedcheck-XR — Einzelmessung oder Streckenmessung; technische Zulassung?</w:t>
      </w:r>
    </w:p>
    <w:p>
      <w:pPr>
        <w:pStyle w:val="ListNumber"/>
      </w:pPr>
      <w:r>
        <w:t>Frontfoto: Auflösung, Erkennbarkeit Fahrer?</w:t>
      </w:r>
    </w:p>
    <w:p>
      <w:pPr>
        <w:pStyle w:val="ListNumber"/>
      </w:pPr>
      <w:r>
        <w:t>Zeugen laut Polizeiprotokoll?</w:t>
      </w:r>
    </w:p>
    <w:p>
      <w:pPr>
        <w:pStyle w:val="ListNumber"/>
      </w:pPr>
      <w:r>
        <w:t>Tateinheit oder Tatmehrheit beider Verstöße (Abstand und Geschwindigkeit gleichzeitig)?</w:t>
      </w:r>
    </w:p>
    <w:p>
      <w:pPr>
        <w:pStyle w:val="ListNumber"/>
      </w:pPr>
      <w:r>
        <w:t>Verjährungsadressat?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Bußgeldstelle Land Niedersachsen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Bußgeldstelle Land Niedersachsen</w:t>
    </w:r>
  </w:p>
  <w:p>
    <w:pPr>
      <w:jc w:val="left"/>
      <w:pBdr>
        <w:bottom w:val="single" w:sz="6" w:space="2" w:color="3B3F45"/>
      </w:pBdr>
    </w:pPr>
    <w:r>
      <w:rPr>
        <w:rFonts w:ascii="Times New Roman" w:hAnsi="Times New Roman"/>
        <w:color w:val="6B6B66"/>
        <w:sz w:val="16"/>
      </w:rPr>
      <w:t>Göttinger Chaussee 76A, 30453 Hannover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