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FAER-Auszug — Henrik Norderhof-Tannenmoor</w:t>
      </w:r>
    </w:p>
    <w:p>
      <w:pPr>
        <w:jc w:val="left"/>
      </w:pPr>
      <w:r>
        <w:t>Auskunft: Kraftfahrt-Bundesamt (KBA), Fördepromenade 1, 24944 Flensburg</w:t>
      </w:r>
    </w:p>
    <w:p>
      <w:pPr>
        <w:jc w:val="left"/>
      </w:pPr>
      <w:r>
        <w:t>Datum der Auskunft: 24.02.2026</w:t>
      </w:r>
    </w:p>
    <w:p>
      <w:pPr>
        <w:jc w:val="left"/>
      </w:pPr>
      <w:r>
        <w:t>Auskunft-AZ: KBA-FAER-2026-0224-7819</w:t>
      </w:r>
    </w:p>
    <w:p>
      <w:pPr>
        <w:jc w:val="left"/>
      </w:pPr>
      <w:r>
        <w:t>Betroffener: Henrik Norderhof-Tannenmoor, geb. 17.09.1978</w:t>
      </w:r>
    </w:p>
    <w:p/>
    <w:p>
      <w:pPr>
        <w:pStyle w:val="Heading2"/>
      </w:pPr>
      <w:r>
        <w:rPr>
          <w:rFonts w:ascii="Times New Roman" w:hAnsi="Times New Roman"/>
        </w:rPr>
        <w:t>Aktueller Punktestand (Stand 24.02.2026)</w:t>
      </w:r>
    </w:p>
    <w:p>
      <w:pPr>
        <w:jc w:val="left"/>
      </w:pPr>
      <w:r>
        <w:rPr>
          <w:b/>
        </w:rPr>
        <w:t>Gesamt-Punkte:</w:t>
      </w:r>
      <w:r>
        <w:t xml:space="preserve"> 1 Punkt</w:t>
      </w:r>
    </w:p>
    <w:p>
      <w:pPr>
        <w:jc w:val="left"/>
      </w:pPr>
      <w:r>
        <w:rPr>
          <w:b/>
        </w:rPr>
        <w:t>Eintrag:</w:t>
      </w:r>
      <w:r>
        <w:t xml:space="preserve"> 1 Eintrag vorhanden</w:t>
      </w:r>
    </w:p>
    <w:p/>
    <w:p>
      <w:pPr>
        <w:pStyle w:val="Heading2"/>
      </w:pPr>
      <w:r>
        <w:rPr>
          <w:rFonts w:ascii="Times New Roman" w:hAnsi="Times New Roman"/>
        </w:rPr>
        <w:t>Eintragsübersicht</w:t>
      </w:r>
    </w:p>
    <w:tbl>
      <w:tblPr>
        <w:tblStyle w:val="TableGrid"/>
        <w:tblW w:type="auto" w:w="0"/>
        <w:tblLook w:firstColumn="1" w:firstRow="1" w:lastColumn="0" w:lastRow="0" w:noHBand="0" w:noVBand="1" w:val="04A0"/>
      </w:tblPr>
      <w:tblGrid>
        <w:gridCol w:w="1134"/>
        <w:gridCol w:w="1134"/>
        <w:gridCol w:w="1134"/>
        <w:gridCol w:w="1134"/>
        <w:gridCol w:w="1134"/>
        <w:gridCol w:w="1134"/>
        <w:gridCol w:w="1134"/>
        <w:gridCol w:w="1134"/>
      </w:tblGrid>
      <w:tr>
        <w:tc>
          <w:tcPr>
            <w:tcW w:type="dxa" w:w="1134"/>
          </w:tcPr>
          <w:p>
            <w:r>
              <w:rPr>
                <w:rFonts w:ascii="Times New Roman" w:hAnsi="Times New Roman"/>
                <w:b/>
                <w:sz w:val="20"/>
              </w:rPr>
              <w:t>Lfd.Nr.</w:t>
            </w:r>
          </w:p>
        </w:tc>
        <w:tc>
          <w:tcPr>
            <w:tcW w:type="dxa" w:w="1134"/>
          </w:tcPr>
          <w:p>
            <w:r>
              <w:rPr>
                <w:rFonts w:ascii="Times New Roman" w:hAnsi="Times New Roman"/>
                <w:b/>
                <w:sz w:val="20"/>
              </w:rPr>
              <w:t>Eintragsdatum</w:t>
            </w:r>
          </w:p>
        </w:tc>
        <w:tc>
          <w:tcPr>
            <w:tcW w:type="dxa" w:w="1134"/>
          </w:tcPr>
          <w:p>
            <w:r>
              <w:rPr>
                <w:rFonts w:ascii="Times New Roman" w:hAnsi="Times New Roman"/>
                <w:b/>
                <w:sz w:val="20"/>
              </w:rPr>
              <w:t>Tattag</w:t>
            </w:r>
          </w:p>
        </w:tc>
        <w:tc>
          <w:tcPr>
            <w:tcW w:type="dxa" w:w="1134"/>
          </w:tcPr>
          <w:p>
            <w:r>
              <w:rPr>
                <w:rFonts w:ascii="Times New Roman" w:hAnsi="Times New Roman"/>
                <w:b/>
                <w:sz w:val="20"/>
              </w:rPr>
              <w:t>Verstoß</w:t>
            </w:r>
          </w:p>
        </w:tc>
        <w:tc>
          <w:tcPr>
            <w:tcW w:type="dxa" w:w="1134"/>
          </w:tcPr>
          <w:p>
            <w:r>
              <w:rPr>
                <w:rFonts w:ascii="Times New Roman" w:hAnsi="Times New Roman"/>
                <w:b/>
                <w:sz w:val="20"/>
              </w:rPr>
              <w:t>Punkte</w:t>
            </w:r>
          </w:p>
        </w:tc>
        <w:tc>
          <w:tcPr>
            <w:tcW w:type="dxa" w:w="1134"/>
          </w:tcPr>
          <w:p>
            <w:r>
              <w:rPr>
                <w:rFonts w:ascii="Times New Roman" w:hAnsi="Times New Roman"/>
                <w:b/>
                <w:sz w:val="20"/>
              </w:rPr>
              <w:t>Rechtskraft</w:t>
            </w:r>
          </w:p>
        </w:tc>
        <w:tc>
          <w:tcPr>
            <w:tcW w:type="dxa" w:w="1134"/>
          </w:tcPr>
          <w:p>
            <w:r>
              <w:rPr>
                <w:rFonts w:ascii="Times New Roman" w:hAnsi="Times New Roman"/>
                <w:b/>
                <w:sz w:val="20"/>
              </w:rPr>
              <w:t>Tilgungsfrist</w:t>
            </w:r>
          </w:p>
        </w:tc>
        <w:tc>
          <w:tcPr>
            <w:tcW w:type="dxa" w:w="1134"/>
          </w:tcPr>
          <w:p>
            <w:r>
              <w:rPr>
                <w:rFonts w:ascii="Times New Roman" w:hAnsi="Times New Roman"/>
                <w:b/>
                <w:sz w:val="20"/>
              </w:rPr>
              <w:t>Löschbar ab</w:t>
            </w:r>
          </w:p>
        </w:tc>
      </w:tr>
      <w:tr>
        <w:tc>
          <w:tcPr>
            <w:tcW w:type="dxa" w:w="1134"/>
          </w:tcPr>
          <w:p>
            <w:r>
              <w:rPr>
                <w:rFonts w:ascii="Times New Roman" w:hAnsi="Times New Roman"/>
                <w:sz w:val="20"/>
              </w:rPr>
              <w:t>1</w:t>
            </w:r>
          </w:p>
        </w:tc>
        <w:tc>
          <w:tcPr>
            <w:tcW w:type="dxa" w:w="1134"/>
          </w:tcPr>
          <w:p>
            <w:r>
              <w:rPr>
                <w:rFonts w:ascii="Times New Roman" w:hAnsi="Times New Roman"/>
                <w:sz w:val="20"/>
              </w:rPr>
              <w:t>19.08.2024</w:t>
            </w:r>
          </w:p>
        </w:tc>
        <w:tc>
          <w:tcPr>
            <w:tcW w:type="dxa" w:w="1134"/>
          </w:tcPr>
          <w:p>
            <w:r>
              <w:rPr>
                <w:rFonts w:ascii="Times New Roman" w:hAnsi="Times New Roman"/>
                <w:sz w:val="20"/>
              </w:rPr>
              <w:t>23.05.2024</w:t>
            </w:r>
          </w:p>
        </w:tc>
        <w:tc>
          <w:tcPr>
            <w:tcW w:type="dxa" w:w="1134"/>
          </w:tcPr>
          <w:p>
            <w:r>
              <w:rPr>
                <w:rFonts w:ascii="Times New Roman" w:hAnsi="Times New Roman"/>
                <w:sz w:val="20"/>
              </w:rPr>
              <w:t>Geschwindigkeitsüberschreitung Autobahn 31 km/h (§ 41 StVO i.V.m. Zeichen 274; § 24 StVG; Nr. 11.3.6 BKat)</w:t>
            </w:r>
          </w:p>
        </w:tc>
        <w:tc>
          <w:tcPr>
            <w:tcW w:type="dxa" w:w="1134"/>
          </w:tcPr>
          <w:p>
            <w:r>
              <w:rPr>
                <w:rFonts w:ascii="Times New Roman" w:hAnsi="Times New Roman"/>
                <w:sz w:val="20"/>
              </w:rPr>
              <w:t>1</w:t>
            </w:r>
          </w:p>
        </w:tc>
        <w:tc>
          <w:tcPr>
            <w:tcW w:type="dxa" w:w="1134"/>
          </w:tcPr>
          <w:p>
            <w:r>
              <w:rPr>
                <w:rFonts w:ascii="Times New Roman" w:hAnsi="Times New Roman"/>
                <w:sz w:val="20"/>
              </w:rPr>
              <w:t>18.08.2024</w:t>
            </w:r>
          </w:p>
        </w:tc>
        <w:tc>
          <w:tcPr>
            <w:tcW w:type="dxa" w:w="1134"/>
          </w:tcPr>
          <w:p>
            <w:r>
              <w:rPr>
                <w:rFonts w:ascii="Times New Roman" w:hAnsi="Times New Roman"/>
                <w:sz w:val="20"/>
              </w:rPr>
              <w:t>2,5 Jahre</w:t>
            </w:r>
          </w:p>
        </w:tc>
        <w:tc>
          <w:tcPr>
            <w:tcW w:type="dxa" w:w="1134"/>
          </w:tcPr>
          <w:p>
            <w:r>
              <w:rPr>
                <w:rFonts w:ascii="Times New Roman" w:hAnsi="Times New Roman"/>
                <w:sz w:val="20"/>
              </w:rPr>
              <w:t>18.02.2027</w:t>
            </w:r>
          </w:p>
        </w:tc>
      </w:tr>
    </w:tbl>
    <w:p/>
    <w:p>
      <w:pPr>
        <w:pStyle w:val="Heading2"/>
      </w:pPr>
      <w:r>
        <w:rPr>
          <w:rFonts w:ascii="Times New Roman" w:hAnsi="Times New Roman"/>
        </w:rPr>
        <w:t>Erläuterung zur Vorbelastung 2024</w:t>
      </w:r>
    </w:p>
    <w:p>
      <w:pPr>
        <w:jc w:val="left"/>
      </w:pPr>
      <w:r>
        <w:rPr>
          <w:b/>
        </w:rPr>
        <w:t>Verstoß Mai 2024:</w:t>
      </w:r>
      <w:r>
        <w:t xml:space="preserve"> Auf der BAB 4 bei Köln wurde Mandant am 23.05.2024 mit 31 km/h Überschreitung (innerorts: nein, Autobahn) geblitzt. Bußgeldbescheid über 120 EUR; Rechtskraft 18.08.2024; Eintrag 1 Punkt FAER.</w:t>
      </w:r>
    </w:p>
    <w:p>
      <w:pPr>
        <w:jc w:val="left"/>
      </w:pPr>
      <w:r>
        <w:t>Tilgungsfrist für 1-Punkt-Eintrag: 2,5 Jahre ab Rechtskraft = 18.02.2027.</w:t>
      </w:r>
    </w:p>
    <w:p>
      <w:pPr>
        <w:jc w:val="left"/>
      </w:pPr>
      <w:r>
        <w:rPr>
          <w:b/>
        </w:rPr>
        <w:t>Relevanz für aktuelles Verfahren:</w:t>
      </w:r>
    </w:p>
    <w:p>
      <w:pPr>
        <w:jc w:val="left"/>
      </w:pPr>
      <w:r>
        <w:t>Wenn der neue Bußgeldbescheid (Abstand+Geschwindigkeit BAB 7, 04.02.2026) rechtskräftig wird, kommen 2 Punkte hinzu. Gesamt dann: 3 Punkte. Unterhalb der Fahrerlaubnisrelevanz-Schwelle (4 Punkte = Verwarnung, 6 Punkte = Fahrerlaubnisentzug). Aber: Der 1-Punkt-Eintrag aus 2024 wird durch den Neueintrag nicht getilgt — er läuft eigenständig weiter.</w:t>
      </w:r>
    </w:p>
    <w:p>
      <w:pPr>
        <w:jc w:val="left"/>
      </w:pPr>
      <w:r>
        <w:rPr>
          <w:b/>
        </w:rPr>
        <w:t>Tilgungsblockade (§ 29 StVG):</w:t>
      </w:r>
    </w:p>
    <w:p>
      <w:pPr>
        <w:jc w:val="left"/>
      </w:pPr>
      <w:r>
        <w:t>Solange ein Eintrag im FAER vorhanden ist, werden ältere Einträge nicht vorzeitig getilgt (Tilgungsblockade). Der neue Eintrag (2026) würde die Tilgungsfrist des alten Eintrags (2024) nicht verlängern, da beide unabhängige Löschungsfristen haben. Beide Einträge laufen parallel.</w:t>
      </w:r>
    </w:p>
    <w:p/>
    <w:p>
      <w:pPr>
        <w:pStyle w:val="Heading2"/>
      </w:pPr>
      <w:r>
        <w:rPr>
          <w:rFonts w:ascii="Times New Roman" w:hAnsi="Times New Roman"/>
        </w:rPr>
        <w:t>Prüfung Punktestand nach Neueintrag</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Szenario</w:t>
            </w:r>
          </w:p>
        </w:tc>
        <w:tc>
          <w:tcPr>
            <w:tcW w:type="dxa" w:w="4536"/>
          </w:tcPr>
          <w:p>
            <w:r>
              <w:rPr>
                <w:rFonts w:ascii="Times New Roman" w:hAnsi="Times New Roman"/>
                <w:b/>
                <w:sz w:val="20"/>
              </w:rPr>
              <w:t>Punkte gesamt</w:t>
            </w:r>
          </w:p>
        </w:tc>
      </w:tr>
      <w:tr>
        <w:tc>
          <w:tcPr>
            <w:tcW w:type="dxa" w:w="4536"/>
          </w:tcPr>
          <w:p>
            <w:r>
              <w:rPr>
                <w:rFonts w:ascii="Times New Roman" w:hAnsi="Times New Roman"/>
                <w:sz w:val="20"/>
              </w:rPr>
              <w:t>Aktuell (ohne neuen Eintrag)</w:t>
            </w:r>
          </w:p>
        </w:tc>
        <w:tc>
          <w:tcPr>
            <w:tcW w:type="dxa" w:w="4536"/>
          </w:tcPr>
          <w:p>
            <w:r>
              <w:rPr>
                <w:rFonts w:ascii="Times New Roman" w:hAnsi="Times New Roman"/>
                <w:sz w:val="20"/>
              </w:rPr>
              <w:t>1 Punkt</w:t>
            </w:r>
          </w:p>
        </w:tc>
      </w:tr>
      <w:tr>
        <w:tc>
          <w:tcPr>
            <w:tcW w:type="dxa" w:w="4536"/>
          </w:tcPr>
          <w:p>
            <w:r>
              <w:rPr>
                <w:rFonts w:ascii="Times New Roman" w:hAnsi="Times New Roman"/>
                <w:sz w:val="20"/>
              </w:rPr>
              <w:t>Nach Rechtskraft Abstand-OWi (2 Punkte)</w:t>
            </w:r>
          </w:p>
        </w:tc>
        <w:tc>
          <w:tcPr>
            <w:tcW w:type="dxa" w:w="4536"/>
          </w:tcPr>
          <w:p>
            <w:r>
              <w:rPr>
                <w:rFonts w:ascii="Times New Roman" w:hAnsi="Times New Roman"/>
                <w:sz w:val="20"/>
              </w:rPr>
              <w:t>3 Punkte</w:t>
            </w:r>
          </w:p>
        </w:tc>
      </w:tr>
      <w:tr>
        <w:tc>
          <w:tcPr>
            <w:tcW w:type="dxa" w:w="4536"/>
          </w:tcPr>
          <w:p>
            <w:r>
              <w:rPr>
                <w:rFonts w:ascii="Times New Roman" w:hAnsi="Times New Roman"/>
                <w:sz w:val="20"/>
              </w:rPr>
              <w:t>Konsequenz</w:t>
            </w:r>
          </w:p>
        </w:tc>
        <w:tc>
          <w:tcPr>
            <w:tcW w:type="dxa" w:w="4536"/>
          </w:tcPr>
          <w:p>
            <w:r>
              <w:rPr>
                <w:rFonts w:ascii="Times New Roman" w:hAnsi="Times New Roman"/>
                <w:sz w:val="20"/>
              </w:rPr>
              <w:t>Keine Fahrerlaubnismaßnahme; unterhalb 4-Punkte-Schwelle</w:t>
            </w:r>
          </w:p>
        </w:tc>
      </w:tr>
    </w:tbl>
    <w:p/>
    <w:p>
      <w:pPr>
        <w:pStyle w:val="Heading2"/>
      </w:pPr>
      <w:r>
        <w:rPr>
          <w:rFonts w:ascii="Times New Roman" w:hAnsi="Times New Roman"/>
        </w:rPr>
        <w:t>Anmerkung Kanzlei</w:t>
      </w:r>
    </w:p>
    <w:p>
      <w:pPr>
        <w:jc w:val="left"/>
      </w:pPr>
      <w:r>
        <w:t>Der Vorwurf der Geschwindigkeit (31 km/h, 2024) auf der Autobahn zeigt, dass Mandant bereits mit Geschwindigkeitsfragen auf Bundesautobahnen auffällig war. Im Rahmen der Hauptverhandlung ist dies als Vorleben relevant, wenn das Gericht über die Verhältnismäßigkeit des Fahrverbots oder über einen atypischen Fall nach § 4 BKatV entscheidet. Die Vorbelastung ist gering (1 Punkt, 1 Eintrag), stellt aber keinen Ersttäter-Status dar.</w:t>
      </w:r>
    </w:p>
    <w:p>
      <w:pPr>
        <w:jc w:val="left"/>
      </w:pPr>
      <w:r>
        <w:t>Für die Argumentation zur Existenzgefährdung (§ 25 StVG) spielt die FAER-Vorbelastung eine untergeordnete Rolle — maßgeblich sind die betrieblichen und wirtschaftlichen Folgen des Fahrverbots für die Norderhof Spedition GmbH.</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Auskunft: Kraftfahrt-Bundesamt (KBA)</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Auskunft: Kraftfahrt-Bundesamt (KBA)</w:t>
    </w:r>
  </w:p>
  <w:p>
    <w:pPr>
      <w:jc w:val="left"/>
      <w:pBdr>
        <w:bottom w:val="single" w:sz="6" w:space="2" w:color="3B3F45"/>
      </w:pBdr>
    </w:pPr>
    <w:r>
      <w:rPr>
        <w:rFonts w:ascii="Times New Roman" w:hAnsi="Times New Roman"/>
        <w:color w:val="6B6B66"/>
        <w:sz w:val="16"/>
      </w:rPr>
      <w:t>Fördepromenade 1, 24944 Flensburg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