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Einspruchsschrift — AG Hamburg-Altona 188 OWi 188/26</w:t>
      </w:r>
    </w:p>
    <w:p>
      <w:pPr>
        <w:jc w:val="left"/>
      </w:pPr>
      <w:r>
        <w:t>Kanzlei Schwingenstein-Roosendaal Strafrechtspartner</w:t>
      </w:r>
    </w:p>
    <w:p>
      <w:pPr>
        <w:jc w:val="left"/>
      </w:pPr>
      <w:r>
        <w:t>RA Lattermann</w:t>
      </w:r>
    </w:p>
    <w:p>
      <w:pPr>
        <w:jc w:val="left"/>
      </w:pPr>
      <w:r>
        <w:t>Neuer Wall 63, 20354 Hamburg</w:t>
      </w:r>
    </w:p>
    <w:p>
      <w:pPr>
        <w:jc w:val="left"/>
      </w:pPr>
      <w:r>
        <w:t>Tel.: +49 40 6688-2200</w:t>
      </w:r>
    </w:p>
    <w:p>
      <w:pPr>
        <w:jc w:val="left"/>
      </w:pPr>
      <w:r>
        <w:t>Fax: +49 40 6688-2210</w:t>
      </w:r>
    </w:p>
    <w:p>
      <w:pPr>
        <w:jc w:val="left"/>
      </w:pPr>
      <w:r>
        <w:t>An:</w:t>
      </w:r>
    </w:p>
    <w:p>
      <w:pPr>
        <w:jc w:val="left"/>
      </w:pPr>
      <w:r>
        <w:t>Amtsgericht Hamburg-Altona</w:t>
      </w:r>
    </w:p>
    <w:p>
      <w:pPr>
        <w:jc w:val="left"/>
      </w:pPr>
      <w:r>
        <w:t>OWi-Abteilung 188</w:t>
      </w:r>
    </w:p>
    <w:p>
      <w:pPr>
        <w:jc w:val="left"/>
      </w:pPr>
      <w:r>
        <w:t>Max-Brauer-Allee 91</w:t>
      </w:r>
    </w:p>
    <w:p>
      <w:pPr>
        <w:jc w:val="left"/>
      </w:pPr>
      <w:r>
        <w:t>22765 Hamburg</w:t>
      </w:r>
    </w:p>
    <w:p>
      <w:pPr>
        <w:jc w:val="left"/>
      </w:pPr>
      <w:r>
        <w:t>Hamburg, 15.04.2026</w:t>
      </w:r>
    </w:p>
    <w:p/>
    <w:p>
      <w:pPr>
        <w:jc w:val="left"/>
      </w:pPr>
      <w:r>
        <w:t>In dem Ordnungswidrigkeitenverfahren</w:t>
      </w:r>
    </w:p>
    <w:p>
      <w:pPr>
        <w:jc w:val="left"/>
      </w:pPr>
      <w:r>
        <w:rPr>
          <w:b/>
        </w:rPr>
        <w:t>wegen:</w:t>
      </w:r>
      <w:r>
        <w:t xml:space="preserve"> Unterschreitung des Mindestabstands und Geschwindigkeitsüberschreitung</w:t>
      </w:r>
    </w:p>
    <w:p>
      <w:pPr>
        <w:jc w:val="left"/>
      </w:pPr>
      <w:r>
        <w:rPr>
          <w:b/>
        </w:rPr>
        <w:t>Bußgeldbescheid-AZ:</w:t>
      </w:r>
      <w:r>
        <w:t xml:space="preserve"> NIBOWS-188-A-4711-26 vom 25.03.2026</w:t>
      </w:r>
    </w:p>
    <w:p>
      <w:pPr>
        <w:jc w:val="left"/>
      </w:pPr>
      <w:r>
        <w:rPr>
          <w:b/>
        </w:rPr>
        <w:t>Betroffener:</w:t>
      </w:r>
      <w:r>
        <w:t xml:space="preserve"> Henrik Norderhof-Tannenmoor, Alsterufer 88, 20354 Hamburg</w:t>
      </w:r>
    </w:p>
    <w:p>
      <w:pPr>
        <w:jc w:val="left"/>
      </w:pPr>
      <w:r>
        <w:rPr>
          <w:b/>
        </w:rPr>
        <w:t>Verteidiger:</w:t>
      </w:r>
      <w:r>
        <w:t xml:space="preserve"> RA Lattermann, Kanzlei Schwingenstein-Roosendaal Strafrechtspartner</w:t>
      </w:r>
    </w:p>
    <w:p/>
    <w:p>
      <w:pPr>
        <w:pStyle w:val="Heading2"/>
      </w:pPr>
      <w:r>
        <w:rPr>
          <w:rFonts w:ascii="Times New Roman" w:hAnsi="Times New Roman"/>
        </w:rPr>
        <w:t>Einspruch</w:t>
      </w:r>
    </w:p>
    <w:p>
      <w:pPr>
        <w:jc w:val="left"/>
      </w:pPr>
      <w:r>
        <w:t>Namens und in Vollmacht des Betroffenen lege ich gegen den Bußgeldbescheid der Bußgeldstelle Land Niedersachsen vom 25.03.2026, AZ NIBOWS-188-A-4711-26, zugestellt am 27.03.2026,</w:t>
      </w:r>
    </w:p>
    <w:p>
      <w:pPr>
        <w:jc w:val="left"/>
      </w:pPr>
      <w:r>
        <w:rPr>
          <w:b/>
        </w:rPr>
        <w:t>Einspruch</w:t>
      </w:r>
    </w:p>
    <w:p>
      <w:pPr>
        <w:jc w:val="left"/>
      </w:pPr>
      <w:r>
        <w:t>ein.</w:t>
      </w:r>
    </w:p>
    <w:p/>
    <w:p>
      <w:pPr>
        <w:pStyle w:val="Heading2"/>
      </w:pPr>
      <w:r>
        <w:rPr>
          <w:rFonts w:ascii="Times New Roman" w:hAnsi="Times New Roman"/>
        </w:rPr>
        <w:t>Begründung</w:t>
      </w:r>
    </w:p>
    <w:p>
      <w:pPr>
        <w:pStyle w:val="Heading3"/>
      </w:pPr>
      <w:r>
        <w:rPr>
          <w:rFonts w:ascii="Times New Roman" w:hAnsi="Times New Roman"/>
        </w:rPr>
        <w:t>I. Zulässigkeit</w:t>
      </w:r>
    </w:p>
    <w:p>
      <w:pPr>
        <w:jc w:val="left"/>
      </w:pPr>
      <w:r>
        <w:t>Der Einspruch ist gemäß § 67 OWiG statthaft und wurde fristgerecht eingelegt. Die Frist von zwei Wochen ab Zustellung (27.03.2026) läuft bis 10.04.2026. Der Einspruch wird per Fax am 08.04.2026 übermittelt (Empfangsbestätigung beigefügt). Er ist fristgerecht.</w:t>
      </w:r>
    </w:p>
    <w:p>
      <w:pPr>
        <w:pStyle w:val="Heading3"/>
      </w:pPr>
      <w:r>
        <w:rPr>
          <w:rFonts w:ascii="Times New Roman" w:hAnsi="Times New Roman"/>
        </w:rPr>
        <w:t>II. Verjährungseinwand</w:t>
      </w:r>
    </w:p>
    <w:p>
      <w:pPr>
        <w:jc w:val="left"/>
      </w:pPr>
      <w:r>
        <w:t>Es wird geprüft, ob der Anhörungsbogen vom 07.02.2026 an die Norderhof Spedition GmbH als Fahrzeughalterin adressiert war und ob hierdurch die Verjährung gegenüber dem Fahrer Henrik Norderhof-Tannenmoor persönlich unterbrochen wurde. Gemäß § 33 Abs. 1 Nr. 1 OWiG i.V.m. § 26 Abs. 3 StVG unterbricht eine Bekanntmachung des Verfolgungswillens die dreimonatige Verjährungsfrist. Diese Unterbrechung wirkt nur gegen denjenigen, dem gegenüber die Bekanntmachung erfolgt ist. Da der Anhörungsbogen an die GmbH als Halter adressiert war, ist die Verjährungsunterbrechung gegenüber dem Fahrer fraglich.</w:t>
      </w:r>
    </w:p>
    <w:p>
      <w:pPr>
        <w:pStyle w:val="Heading3"/>
      </w:pPr>
      <w:r>
        <w:rPr>
          <w:rFonts w:ascii="Times New Roman" w:hAnsi="Times New Roman"/>
        </w:rPr>
        <w:t>III. Sachverhalt</w:t>
      </w:r>
    </w:p>
    <w:p>
      <w:pPr>
        <w:pStyle w:val="Heading3"/>
      </w:pPr>
      <w:r>
        <w:rPr>
          <w:rFonts w:ascii="Times New Roman" w:hAnsi="Times New Roman"/>
        </w:rPr>
        <w:t>1. Abstandsmessung BAMV</w:t>
      </w:r>
    </w:p>
    <w:p>
      <w:pPr>
        <w:jc w:val="left"/>
      </w:pPr>
      <w:r>
        <w:t>Das BAMV-Verfahren ist zwar grundsätzlich als standardisiertes Messverfahren anerkannt. Im vorliegenden Fall werden jedoch konkrete Einwände erhoben:</w:t>
      </w:r>
    </w:p>
    <w:p>
      <w:pPr>
        <w:jc w:val="left"/>
      </w:pPr>
      <w:r>
        <w:t>(a) Es wird bestritten, dass die BAMV-Anlage am 04.02.2026 in vollständig eichkonformem Betriebszustand war. Die Aufstellungskonformität (Neigungswinkel der Brückenanlage, Freihalteabstände) ist anhand der vorliegenden Akten nicht vollständig dokumentiert.</w:t>
      </w:r>
    </w:p>
    <w:p>
      <w:pPr>
        <w:jc w:val="left"/>
      </w:pPr>
      <w:r>
        <w:t>(b) Das Messprotokoll weist Messreihe 188 mit 74 Einzelmessungen aus. Es wird beantragt, die vollständige Messreihe mitsamt Rohdaten zu übermitteln, um Plausibilitätsprüfungen durch den Sachverständigen zu ermöglichen.</w:t>
      </w:r>
    </w:p>
    <w:p>
      <w:pPr>
        <w:jc w:val="left"/>
      </w:pPr>
      <w:r>
        <w:t>(c) Ein Toleranzabzug wurde im BAMV-Verfahren nicht gewährt. Es wird darauf hingewiesen, dass nach Auffassung des SV Pohlmann-Wittfeldt beim BAMV-LB-7000 systembedingte Messabweichungen auftreten können, die im vorliegenden Fall nicht berücksichtigt wurden.</w:t>
      </w:r>
    </w:p>
    <w:p>
      <w:pPr>
        <w:pStyle w:val="Heading3"/>
      </w:pPr>
      <w:r>
        <w:rPr>
          <w:rFonts w:ascii="Times New Roman" w:hAnsi="Times New Roman"/>
        </w:rPr>
        <w:t>2. Section Control Speedcheck-XR</w:t>
      </w:r>
    </w:p>
    <w:p>
      <w:pPr>
        <w:jc w:val="left"/>
      </w:pPr>
      <w:r>
        <w:t>(a) Die Fahreridentifizierung anhand des Frontfotos der Section-Control-Anlage ist nicht möglich. Das Foto zeigt eine stark verpixelte und unscharfe Windschutzscheibe; der Fahrer ist nicht eindeutig identifizierbar. Eine Verurteilung allein auf Basis dieses Fotos würde den Grundsatz in dubio pro reo verletzen.</w:t>
      </w:r>
    </w:p>
    <w:p>
      <w:pPr>
        <w:jc w:val="left"/>
      </w:pPr>
      <w:r>
        <w:t>(b) Die ANPR-Erkennungsrate für Sattelzüge ist nicht gesondert in der Eichdokumentation belegt.</w:t>
      </w:r>
    </w:p>
    <w:p>
      <w:pPr>
        <w:jc w:val="left"/>
      </w:pPr>
      <w:r>
        <w:t>(c) Die gleichzeitige Überwachung des Abstands (BAMV) und der Geschwindigkeit (Speedcheck-XR) betrifft denselben Ort und Zeitpunkt. Es liegt Tateinheit gemäß § 19 OWiG vor. Eine doppelte Sanktionierung ist unzulässig.</w:t>
      </w:r>
    </w:p>
    <w:p>
      <w:pPr>
        <w:pStyle w:val="Heading3"/>
      </w:pPr>
      <w:r>
        <w:rPr>
          <w:rFonts w:ascii="Times New Roman" w:hAnsi="Times New Roman"/>
        </w:rPr>
        <w:t>3. Existenzgefährdung / Fahrverbot</w:t>
      </w:r>
    </w:p>
    <w:p>
      <w:pPr>
        <w:jc w:val="left"/>
      </w:pPr>
      <w:r>
        <w:t>Im Falle einer Verurteilung wird ausdrücklich beantragt, gemäß § 4 Abs. 4 BKatV von der Verhängung des Regelfahrverbots abzusehen. Der Mandant ist alleiniger Geschäftsführer der Norderhof Spedition GmbH mit 38 Mitarbeitern und einem Jahresumsatz von ca. 7,2 Mio. EUR. Ein Fahrverbot von einem Monat würde die Betriebsführung existenzgefährdend beeinträchtigen. Belege werden zur Hauptverhandlung vorgelegt.</w:t>
      </w:r>
    </w:p>
    <w:p>
      <w:pPr>
        <w:pStyle w:val="Heading3"/>
      </w:pPr>
      <w:r>
        <w:rPr>
          <w:rFonts w:ascii="Times New Roman" w:hAnsi="Times New Roman"/>
        </w:rPr>
        <w:t>IV. Beweisanträge</w:t>
      </w:r>
    </w:p>
    <w:p>
      <w:pPr>
        <w:pStyle w:val="ListNumber"/>
      </w:pPr>
      <w:r>
        <w:t>Einholung eines Sachverständigengutachtens zur BAMV-Messtechnik (SV Pohlmann-Wittfeldt).</w:t>
      </w:r>
    </w:p>
    <w:p>
      <w:pPr>
        <w:pStyle w:val="ListNumber"/>
      </w:pPr>
      <w:r>
        <w:t>Übermittlung der vollständigen Messreihe 188 im Original-Dateiformat.</w:t>
      </w:r>
    </w:p>
    <w:p>
      <w:pPr>
        <w:pStyle w:val="ListNumber"/>
      </w:pPr>
      <w:r>
        <w:t>Übermittlung des Frontfotos in maximal verfügbarer Auflösung.</w:t>
      </w:r>
    </w:p>
    <w:p>
      <w:pPr>
        <w:pStyle w:val="ListNumber"/>
      </w:pPr>
      <w:r>
        <w:t>Inaugenscheinnahme des Frontfotos zur Beurteilung der Erkennbarkeit des Fahrers.</w:t>
      </w:r>
    </w:p>
    <w:p/>
    <w:p>
      <w:pPr>
        <w:jc w:val="left"/>
      </w:pPr>
      <w:r>
        <w:t>Mit freundlichen Grüßen</w:t>
      </w:r>
    </w:p>
    <w:p>
      <w:pPr>
        <w:jc w:val="left"/>
      </w:pPr>
      <w:r>
        <w:t>RA Lattermann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Hamburg-Altona</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Hamburg-Altona</w:t>
    </w:r>
  </w:p>
  <w:p>
    <w:pPr>
      <w:jc w:val="left"/>
      <w:pBdr>
        <w:bottom w:val="single" w:sz="6" w:space="2" w:color="3B3F45"/>
      </w:pBdr>
    </w:pPr>
    <w:r>
      <w:rPr>
        <w:rFonts w:ascii="Times New Roman" w:hAnsi="Times New Roman"/>
        <w:color w:val="6B6B66"/>
        <w:sz w:val="16"/>
      </w:rPr>
      <w:t>Gericht · 188 OWi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