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Kostenfestsetzung — RVG und Rechtsschutzabrechnung</w:t>
      </w:r>
    </w:p>
    <w:p>
      <w:pPr>
        <w:jc w:val="left"/>
      </w:pPr>
      <w:r>
        <w:t>Bearbeiter: RA Lattermann</w:t>
      </w:r>
    </w:p>
    <w:p>
      <w:pPr>
        <w:jc w:val="left"/>
      </w:pPr>
      <w:r>
        <w:t>Datum: 25.11.2026</w:t>
      </w:r>
    </w:p>
    <w:p>
      <w:pPr>
        <w:jc w:val="left"/>
      </w:pPr>
      <w:r>
        <w:t>AZ: ML-2026-OWi-0188</w:t>
      </w:r>
    </w:p>
    <w:p/>
    <w:p>
      <w:pPr>
        <w:pStyle w:val="Heading2"/>
      </w:pPr>
      <w:r>
        <w:rPr>
          <w:rFonts w:ascii="Times New Roman" w:hAnsi="Times New Roman"/>
        </w:rPr>
        <w:t>Gerichtskosten (laut AG Hamburg-Altona)</w:t>
      </w:r>
    </w:p>
    <w:p>
      <w:pPr>
        <w:jc w:val="left"/>
      </w:pPr>
      <w:r>
        <w:t>Da der Betroffene verurteilt wurde, trägt er die Gerichtskosten des Verfahrens.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Verfahrensgebühr AG OWi (§ 107 OWiG i.V.m. KV OWiG)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Zustellungskosten (Schätzung)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14,40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Zeugenentschädigung PHK Tornau-Wiesmann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52,00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SV-Entschädigung Pohlmann-Wittfeldt (Gerichtskosten-Anteil, falls vom Gericht beauftragt)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Gerichtskosten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461,40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Anwaltsgebühren Kanzlei Schwingenstein-Roosendaal (RVG)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Gebührentatbestand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Gebühr laut VV RVG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Grundgebühr (Nr. 5100 VV RVG)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30–275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Verfahrensgebühr Bußgeldverfahren bei Anwalt (Nr. 5103 VV RVG)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30–340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Terminsgebühr Hauptverhandlung (Nr. 5110 VV RVG)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40–400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Postpauschale (Nr. 7002 VV RVG)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max. 20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Dokumentenpauschale (Nr. 7000 VV RVG)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Einzeln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Zwischensumme netto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625,00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MwSt. 19 %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118,75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Anwaltsgebühren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743,75 EUR</w:t>
            </w:r>
          </w:p>
        </w:tc>
      </w:tr>
    </w:tbl>
    <w:p>
      <w:pPr>
        <w:jc w:val="left"/>
      </w:pPr>
      <w:r>
        <w:t>Erstberatungshonorar (pauschal): 350 EUR zzgl. MwSt. = 416,50 EUR (bereits bezahlt; nicht in Abrechnung enthalten)</w:t>
      </w:r>
    </w:p>
    <w:p>
      <w:pPr>
        <w:jc w:val="left"/>
      </w:pPr>
      <w:r>
        <w:t>SV-Honorar Pohlmann-Wittfeldt (privat beauftragt durch Kanzlei): 1.840,00 EUR zzgl. MwSt. = 2.189,60 EUR</w:t>
      </w:r>
    </w:p>
    <w:p/>
    <w:p>
      <w:pPr>
        <w:pStyle w:val="Heading2"/>
      </w:pPr>
      <w:r>
        <w:rPr>
          <w:rFonts w:ascii="Times New Roman" w:hAnsi="Times New Roman"/>
        </w:rPr>
        <w:t>Rechtsschutzabrechnung — ARAG</w:t>
      </w:r>
    </w:p>
    <w:p>
      <w:pPr>
        <w:jc w:val="left"/>
      </w:pPr>
      <w:r>
        <w:rPr>
          <w:b/>
        </w:rPr>
        <w:t>Versicherungsscheinnummer:</w:t>
      </w:r>
      <w:r>
        <w:t xml:space="preserve"> ARAG-VK-2024-7733-02</w:t>
      </w:r>
    </w:p>
    <w:p>
      <w:pPr>
        <w:jc w:val="left"/>
      </w:pPr>
      <w:r>
        <w:rPr>
          <w:b/>
        </w:rPr>
        <w:t>Deckungsumfang:</w:t>
      </w:r>
      <w:r>
        <w:t xml:space="preserve"> Verkehrs-Rechtsschutz Fahrer, bestätigt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Erstattungsfähig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Anwaltsgebühren 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743,75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(nach RVG)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SV-Honorar Pohlmann-Wittfeldt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2.189,60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(als notwendige Auslagen)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Gerichtskosten (soweit nicht Pflicht des Mandanten)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Gerichtskosten trägt Mandant bei Verurteilung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Selbstbeteiligung Mandant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150,00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Erstattung durch ARAG (netto nach Selbstbeteiligung)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2.783,35 EUR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Restbelastung Mandant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Bußgeld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461,40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Selbstbeteiligung ARAG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Erstberatungshonorar (Pauschal, bereits bezahlt)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416,50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Restbelastung Mandant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1.267,90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Anmerkung</w:t>
      </w:r>
    </w:p>
    <w:p>
      <w:pPr>
        <w:jc w:val="left"/>
      </w:pPr>
      <w:r>
        <w:t>ARAG-Antrag wird am 28.11.2026 gestellt. Mandant wird über Restbelastung informiert. Bußgeld-Zahlung an Bußgeldstelle Niedersachsen wird veranlasst.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Gerichtskosten (laut AG Hamburg-Altona)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Gerichtskosten (laut AG Hamburg-Altona)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