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Blutalkoholgutachten — Universitätsklinikum Essen, Institut für Rechtsmedizin</w:t>
      </w:r>
    </w:p>
    <w:p>
      <w:pPr>
        <w:jc w:val="left"/>
      </w:pPr>
      <w:r>
        <w:rPr>
          <w:b/>
        </w:rPr>
        <w:t>Erstellt von:</w:t>
      </w:r>
      <w:r>
        <w:t xml:space="preserve"> Prof. Dr. med. Gerd Falkenrath, Direktor des Instituts für Rechtsmedizin</w:t>
      </w:r>
    </w:p>
    <w:p>
      <w:pPr>
        <w:jc w:val="left"/>
      </w:pPr>
      <w:r>
        <w:rPr>
          <w:b/>
        </w:rPr>
        <w:t>Institut:</w:t>
      </w:r>
      <w:r>
        <w:t xml:space="preserve"> Institut für Rechtsmedizin, Universitätsklinikum Essen</w:t>
      </w:r>
    </w:p>
    <w:p>
      <w:pPr>
        <w:jc w:val="left"/>
      </w:pPr>
      <w:r>
        <w:rPr>
          <w:b/>
        </w:rPr>
        <w:t>Anschrift:</w:t>
      </w:r>
      <w:r>
        <w:t xml:space="preserve"> Hufelandstraße 55, 45147 Essen</w:t>
      </w:r>
    </w:p>
    <w:p>
      <w:pPr>
        <w:jc w:val="left"/>
      </w:pPr>
      <w:r>
        <w:rPr>
          <w:b/>
        </w:rPr>
        <w:t>Gutachten-Nr.:</w:t>
      </w:r>
      <w:r>
        <w:t xml:space="preserve"> RM-2026-00417</w:t>
      </w:r>
    </w:p>
    <w:p>
      <w:pPr>
        <w:jc w:val="left"/>
      </w:pPr>
      <w:r>
        <w:rPr>
          <w:b/>
        </w:rPr>
        <w:t>Auftraggeber:</w:t>
      </w:r>
      <w:r>
        <w:t xml:space="preserve"> Staatsanwaltschaft Hagen (Az. 83 Js 7411/26)</w:t>
      </w:r>
    </w:p>
    <w:p>
      <w:pPr>
        <w:jc w:val="left"/>
      </w:pPr>
      <w:r>
        <w:rPr>
          <w:b/>
        </w:rPr>
        <w:t>Datum der Blutentnahme:</w:t>
      </w:r>
      <w:r>
        <w:t xml:space="preserve"> 12.01.2026, 03:47 Uhr</w:t>
      </w:r>
    </w:p>
    <w:p>
      <w:pPr>
        <w:jc w:val="left"/>
      </w:pPr>
      <w:r>
        <w:rPr>
          <w:b/>
        </w:rPr>
        <w:t>Datum des Gutachtens:</w:t>
      </w:r>
      <w:r>
        <w:t xml:space="preserve"> 16.01.2026</w:t>
      </w:r>
    </w:p>
    <w:p/>
    <w:p>
      <w:pPr>
        <w:pStyle w:val="Heading2"/>
      </w:pPr>
      <w:r>
        <w:rPr>
          <w:rFonts w:ascii="Times New Roman" w:hAnsi="Times New Roman"/>
        </w:rPr>
        <w:t>1. Sachverhalt (mitgeteilt durch Auftraggeber)</w:t>
      </w:r>
    </w:p>
    <w:p>
      <w:pPr>
        <w:jc w:val="left"/>
      </w:pPr>
      <w:r>
        <w:t>Holger Tannenbruck, geb. 17.03.1973, war am 12.01.2026 gegen 01:30 Uhr an einem Verkehrsunfall auf der BAB A45 beteiligt. Atemalkohol-Vortests ergaben 1,00 ‰. Die Blutentnahme erfolgte durch Dr. Felix Sander, Bereitschaftsarzt Marienkrankenhaus Lüdenscheid, unter Aufsicht von POK Breitenbach, um 03:47 Uhr. Die versiegelten Proben wurden durch die Polizei direkt dem Institut übergeben.</w:t>
      </w:r>
    </w:p>
    <w:p/>
    <w:p>
      <w:pPr>
        <w:pStyle w:val="Heading2"/>
      </w:pPr>
      <w:r>
        <w:rPr>
          <w:rFonts w:ascii="Times New Roman" w:hAnsi="Times New Roman"/>
        </w:rPr>
        <w:t>2. Untersuchungsmaterial</w:t>
      </w:r>
    </w:p>
    <w:p>
      <w:pPr>
        <w:pStyle w:val="ListBullet"/>
      </w:pPr>
      <w:r>
        <w:t>Blutprobe 1 (Haupt): Vakutainer EDTA, 9 ml, Etikettierung „HT-2026-0112-A", Siegel intakt</w:t>
      </w:r>
    </w:p>
    <w:p>
      <w:pPr>
        <w:pStyle w:val="ListBullet"/>
      </w:pPr>
      <w:r>
        <w:t>Blutprobe 2 (Rückstellprobe): Vakutainer EDTA, 9 ml, Etikettierung „HT-2026-0112-B", Siegel intakt</w:t>
      </w:r>
    </w:p>
    <w:p>
      <w:pPr>
        <w:pStyle w:val="ListBullet"/>
      </w:pPr>
      <w:r>
        <w:t>Temperatur bei Eingang: 4 °C (Kühlkette gewahrt)</w:t>
      </w:r>
    </w:p>
    <w:p/>
    <w:p>
      <w:pPr>
        <w:pStyle w:val="Heading2"/>
      </w:pPr>
      <w:r>
        <w:rPr>
          <w:rFonts w:ascii="Times New Roman" w:hAnsi="Times New Roman"/>
        </w:rPr>
        <w:t>3. Analysemethoden</w:t>
      </w:r>
    </w:p>
    <w:p>
      <w:pPr>
        <w:jc w:val="left"/>
      </w:pPr>
      <w:r>
        <w:t>Die Blutalkoholkonzentration (BAK) wurde nach den Richtlinien der Deutschen Gesellschaft für Rechtsmedizin (DGRM) und der Deutschen Gesellschaft für Verkehrsmedizin (DGVM) mittels zweier unabhängiger Methoden bestimmt:</w:t>
      </w:r>
    </w:p>
    <w:p>
      <w:pPr>
        <w:pStyle w:val="Heading3"/>
      </w:pPr>
      <w:r>
        <w:rPr>
          <w:rFonts w:ascii="Times New Roman" w:hAnsi="Times New Roman"/>
        </w:rPr>
        <w:t>3.1 Gaschromatographie (ADH-Methode)</w:t>
      </w:r>
    </w:p>
    <w:p>
      <w:pPr>
        <w:jc w:val="left"/>
      </w:pPr>
      <w:r>
        <w:t>Gerät: Perkin-Elmer Clarus 680 GC-FID</w:t>
      </w:r>
    </w:p>
    <w:p>
      <w:pPr>
        <w:jc w:val="left"/>
      </w:pPr>
      <w:r>
        <w:t>Intermer Standard: n-Propanol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Analyse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Messwert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GC-Analyse 1, Probe 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0,99 ‰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GC-Analyse 2, Probe 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0,97 ‰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Mittelwert GC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0,98 ‰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ADH-Enzymatische Methode</w:t>
      </w:r>
    </w:p>
    <w:p>
      <w:pPr>
        <w:jc w:val="left"/>
      </w:pPr>
      <w:r>
        <w:t>Gerät: Siemens Atellica CH 930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Analyse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Messwert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ADH-Analyse 1, Probe 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1,01 ‰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ADH-Analyse 2, Probe 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0,99 ‰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Mittelwert ADH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1,00 ‰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3.3 Gesamtergebnis</w:t>
      </w:r>
    </w:p>
    <w:p>
      <w:pPr>
        <w:jc w:val="left"/>
      </w:pPr>
      <w:r>
        <w:rPr>
          <w:b/>
        </w:rPr>
        <w:t>Gemittelter BAK-Wert:</w:t>
      </w:r>
      <w:r>
        <w:t xml:space="preserve"> (0,98 ‰ + 1,00 ‰) / 2 = </w:t>
      </w:r>
      <w:r>
        <w:rPr>
          <w:b/>
        </w:rPr>
        <w:t>0,99 ‰</w:t>
      </w:r>
    </w:p>
    <w:p>
      <w:pPr>
        <w:jc w:val="left"/>
      </w:pPr>
      <w:r>
        <w:t>Nach Abzug der Messunsicherheit (0,02 ‰) gemäß DIN EN ISO/IEC 17025:</w:t>
      </w:r>
    </w:p>
    <w:p>
      <w:pPr>
        <w:jc w:val="left"/>
      </w:pPr>
      <w:r>
        <w:rPr>
          <w:b/>
        </w:rPr>
        <w:t>Amtlich festgestellte BAK:</w:t>
      </w:r>
      <w:r>
        <w:t xml:space="preserve"> </w:t>
      </w:r>
      <w:r>
        <w:rPr>
          <w:b/>
        </w:rPr>
        <w:t>0,97 ‰</w:t>
      </w:r>
      <w:r>
        <w:t xml:space="preserve"> (gerundet nach unten, für Mandantenvorteil)</w:t>
      </w:r>
    </w:p>
    <w:p>
      <w:pPr>
        <w:jc w:val="left"/>
      </w:pPr>
      <w:r>
        <w:t xml:space="preserve">Im Gutachten wird ein Wert von </w:t>
      </w:r>
      <w:r>
        <w:rPr>
          <w:b/>
        </w:rPr>
        <w:t>0,98 ‰ BAK</w:t>
      </w:r>
      <w:r>
        <w:t xml:space="preserve"> als Grundlage der forensischen Beurteilung angesetzt.</w:t>
      </w:r>
    </w:p>
    <w:p/>
    <w:p>
      <w:pPr>
        <w:pStyle w:val="Heading2"/>
      </w:pPr>
      <w:r>
        <w:rPr>
          <w:rFonts w:ascii="Times New Roman" w:hAnsi="Times New Roman"/>
        </w:rPr>
        <w:t>4. Tatzeit-Rückrechnung</w:t>
      </w:r>
    </w:p>
    <w:p>
      <w:pPr>
        <w:jc w:val="left"/>
      </w:pPr>
      <w:r>
        <w:rPr>
          <w:b/>
        </w:rPr>
        <w:t>Unfallzeit:</w:t>
      </w:r>
      <w:r>
        <w:t xml:space="preserve"> 01:30 Uhr (Polizeiangabe)</w:t>
      </w:r>
    </w:p>
    <w:p>
      <w:pPr>
        <w:jc w:val="left"/>
      </w:pPr>
      <w:r>
        <w:rPr>
          <w:b/>
        </w:rPr>
        <w:t>Blutentnahmezeit:</w:t>
      </w:r>
      <w:r>
        <w:t xml:space="preserve"> 03:47 Uhr (= 137 Minuten nach Unfallzeit)</w:t>
      </w:r>
    </w:p>
    <w:p>
      <w:pPr>
        <w:jc w:val="left"/>
      </w:pPr>
      <w:r>
        <w:t>Rückrechnung nach dem forensischen Standard (Abbauwert 0,1 ‰/h für die günstigste Variante):</w:t>
      </w:r>
    </w:p>
    <w:p>
      <w:pPr>
        <w:jc w:val="left"/>
      </w:pPr>
      <w:r>
        <w:t>```</w:t>
      </w:r>
    </w:p>
    <w:p>
      <w:pPr>
        <w:jc w:val="left"/>
      </w:pPr>
      <w:r>
        <w:t>BAK zum Unfallzeitpunkt (Minimum-Schätzung):</w:t>
      </w:r>
    </w:p>
    <w:p>
      <w:pPr>
        <w:jc w:val="left"/>
      </w:pPr>
      <w:r>
        <w:t>0,98 ‰ + (137 min / 60) × 0,1 ‰/h = 0,98 ‰ + 0,228 ‰ = 1,21 ‰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Maximale Abbauvariante</w:t>
      </w:r>
      <w:r>
        <w:t xml:space="preserve"> (0,2 ‰/h):</w:t>
      </w:r>
    </w:p>
    <w:p>
      <w:pPr>
        <w:jc w:val="left"/>
      </w:pPr>
      <w:r>
        <w:t>```</w:t>
      </w:r>
    </w:p>
    <w:p>
      <w:pPr>
        <w:jc w:val="left"/>
      </w:pPr>
      <w:r>
        <w:t>0,98 ‰ + (137 min / 60) × 0,2 ‰/h = 0,98 ‰ + 0,457 ‰ = 1,44 ‰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Ergebnis der Rückrechnung:</w:t>
      </w:r>
      <w:r>
        <w:t xml:space="preserve"> Die BAK zum Unfallzeitpunkt lag mit forensischer Wahrscheinlichkeit zwischen </w:t>
      </w:r>
      <w:r>
        <w:rPr>
          <w:b/>
        </w:rPr>
        <w:t>1,21 ‰ und 1,44 ‰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5. Beurteilung</w:t>
      </w:r>
    </w:p>
    <w:p>
      <w:pPr>
        <w:pStyle w:val="Heading3"/>
      </w:pPr>
      <w:r>
        <w:rPr>
          <w:rFonts w:ascii="Times New Roman" w:hAnsi="Times New Roman"/>
        </w:rPr>
        <w:t>5.1 Strafrechtliche Relevanz</w:t>
      </w:r>
    </w:p>
    <w:p>
      <w:pPr>
        <w:jc w:val="left"/>
      </w:pPr>
      <w:r>
        <w:t xml:space="preserve">Nach § 316 StGB gilt eine BAK von 1,6 ‰ als </w:t>
      </w:r>
      <w:r>
        <w:rPr>
          <w:b/>
        </w:rPr>
        <w:t>absolute Fahruntüchtigkeit</w:t>
      </w:r>
      <w:r>
        <w:t>. Die festgestellten Werte liegen darunter.</w:t>
      </w:r>
    </w:p>
    <w:p>
      <w:pPr>
        <w:jc w:val="left"/>
      </w:pPr>
      <w:r>
        <w:t xml:space="preserve">Jedoch beginnt die </w:t>
      </w:r>
      <w:r>
        <w:rPr>
          <w:b/>
        </w:rPr>
        <w:t>relative Fahruntüchtigkeit</w:t>
      </w:r>
      <w:r>
        <w:t xml:space="preserve"> ab 0,3 ‰ BAK, wenn gleichzeitig alkoholtypische Ausfallerscheinungen oder ein Unfall vorliegen (BGH, Urteil v. 03.04.2001, Az. 4 StR 507/00; OLG Hamm, Beschl. v. 12.09.2019, Az. 3 RBs 200/19). Bei der hier vorliegenden BAK von </w:t>
      </w:r>
      <w:r>
        <w:rPr>
          <w:b/>
        </w:rPr>
        <w:t>ca. 1,2–1,4 ‰ zum Unfallzeitpunkt</w:t>
      </w:r>
      <w:r>
        <w:t xml:space="preserve"> und dem eingetretenen Auffahrunfall ist relative Fahruntüchtigkeit mit hoher Wahrscheinlichkeit anzunehmen.</w:t>
      </w:r>
    </w:p>
    <w:p>
      <w:pPr>
        <w:pStyle w:val="Heading3"/>
      </w:pPr>
      <w:r>
        <w:rPr>
          <w:rFonts w:ascii="Times New Roman" w:hAnsi="Times New Roman"/>
        </w:rPr>
        <w:t>5.2 Bewertung der Angaben des Betroffenen</w:t>
      </w:r>
    </w:p>
    <w:p>
      <w:pPr>
        <w:jc w:val="left"/>
      </w:pPr>
      <w:r>
        <w:t>Tannenbruck gab an, zwischen ca. 22:30 Uhr und 00:45 Uhr geschlafen zu haben. Eine Alkohol-Resorptionsphase, die den festgestellten Wert um 22:30 Uhr erklären müsste, wäre bei der angegebenen Trinkmenge (3–4 Bier, 1 Schnaps) mit einem Peak-BAK von schätzungsweise 1,5–2,0 ‰ konsistent. Der Wert zum Unfallzeitpunkt liegt im regressiven Abbaubereich, was die Angaben nicht widerlegt.</w:t>
      </w:r>
    </w:p>
    <w:p>
      <w:pPr>
        <w:pStyle w:val="Heading3"/>
      </w:pPr>
      <w:r>
        <w:rPr>
          <w:rFonts w:ascii="Times New Roman" w:hAnsi="Times New Roman"/>
        </w:rPr>
        <w:t>5.3 Hinweis für Strafverfolgung</w:t>
      </w:r>
    </w:p>
    <w:p>
      <w:pPr>
        <w:jc w:val="left"/>
      </w:pPr>
      <w:r>
        <w:t xml:space="preserve">Es wird angeregt, im Strafverfahren Fahrverhalten-Merkmale aus dem Unfallgeschehen (Atemalkohol-Geräuschmuster, Reaktionszeit anhand Bremsspuren) durch einen Unfallrekonstruktionssachverständigen würdigen zu lassen. Die festgestellten Werte begründen </w:t>
      </w:r>
      <w:r>
        <w:rPr>
          <w:b/>
        </w:rPr>
        <w:t>den Verdacht auf relative Fahruntüchtigkeit mit alkoholtypischer Leistungsminderung</w:t>
      </w:r>
      <w:r>
        <w:t>, jedoch noch keine absolute Fahruntüchtigkeit.</w:t>
      </w:r>
    </w:p>
    <w:p/>
    <w:p>
      <w:pPr>
        <w:pStyle w:val="Heading2"/>
      </w:pPr>
      <w:r>
        <w:rPr>
          <w:rFonts w:ascii="Times New Roman" w:hAnsi="Times New Roman"/>
        </w:rPr>
        <w:t>6. Sonstige Untersuchungsbefunde</w:t>
      </w:r>
    </w:p>
    <w:p>
      <w:pPr>
        <w:pStyle w:val="ListBullet"/>
      </w:pPr>
      <w:r>
        <w:t>Keine Hinweise auf Drogenkonsum (Screeningtest negativ: Amphetamine, Opiate, Cannabinoide, Benzodiazepine, Kokain-Metabolite)</w:t>
      </w:r>
    </w:p>
    <w:p>
      <w:pPr>
        <w:pStyle w:val="ListBullet"/>
      </w:pPr>
      <w:r>
        <w:t>Blutbild: unauffällig</w:t>
      </w:r>
    </w:p>
    <w:p>
      <w:pPr>
        <w:pStyle w:val="ListBullet"/>
      </w:pPr>
      <w:r>
        <w:t xml:space="preserve">CDT-Wert (Transferrin-Mangel-Index): 1,8 % — </w:t>
      </w:r>
      <w:r>
        <w:rPr>
          <w:b/>
        </w:rPr>
        <w:t>Grenzwert überschritten</w:t>
      </w:r>
      <w:r>
        <w:t xml:space="preserve"> (&gt; 1,7 %) — Hinweis auf </w:t>
      </w:r>
      <w:r>
        <w:rPr>
          <w:b/>
        </w:rPr>
        <w:t>chronischen oder regelmäßigen erhöhten Alkoholkonsum</w:t>
      </w:r>
      <w:r>
        <w:t xml:space="preserve"> (nicht zwingend, aber stärkende Indiz für MPU-Eignung).</w:t>
      </w:r>
    </w:p>
    <w:p>
      <w:pPr>
        <w:pStyle w:val="ListBullet"/>
      </w:pPr>
      <w:r>
        <w:t>Gamma-GT: 62 U/l (Referenzbereich Männer &lt; 55 U/l) — leicht erhöht</w:t>
      </w:r>
    </w:p>
    <w:p>
      <w:pPr>
        <w:jc w:val="left"/>
      </w:pPr>
      <w:r>
        <w:rPr>
          <w:b/>
        </w:rPr>
        <w:t>Hinweis RA Hoffmann:</w:t>
      </w:r>
      <w:r>
        <w:t xml:space="preserve"> CDT-Wert und erhöhte Gamma-GT werden bei MPU-Vorbereitung kritisch zu besprechen sein. Mandant sollte sofortige Laborwert-Kontrolle veranlassen und ggf. Hausarzt einbinden.</w:t>
      </w:r>
    </w:p>
    <w:p/>
    <w:p>
      <w:pPr>
        <w:pStyle w:val="Heading2"/>
      </w:pPr>
      <w:r>
        <w:rPr>
          <w:rFonts w:ascii="Times New Roman" w:hAnsi="Times New Roman"/>
        </w:rPr>
        <w:t>7. Gutachterliche Schlussfolgerung</w:t>
      </w:r>
    </w:p>
    <w:p>
      <w:pPr>
        <w:jc w:val="left"/>
      </w:pPr>
      <w:r>
        <w:t xml:space="preserve">Zum Zeitpunkt der Blutentnahme (03:47 Uhr) betrug die BAK </w:t>
      </w:r>
      <w:r>
        <w:rPr>
          <w:b/>
        </w:rPr>
        <w:t>0,98 ‰</w:t>
      </w:r>
      <w:r>
        <w:t xml:space="preserve">. Unter Berücksichtigung der Rückrechnung auf den Unfallzeitpunkt (01:30 Uhr) ist von einer BAK zwischen </w:t>
      </w:r>
      <w:r>
        <w:rPr>
          <w:b/>
        </w:rPr>
        <w:t>1,21 ‰ und 1,44 ‰</w:t>
      </w:r>
      <w:r>
        <w:t xml:space="preserve"> auszugehen.</w:t>
      </w:r>
    </w:p>
    <w:p>
      <w:pPr>
        <w:jc w:val="left"/>
      </w:pPr>
      <w:r>
        <w:t xml:space="preserve">Diese BAK, verbunden mit dem eingetretenen Unfallgeschehen, begründet den Verdacht der </w:t>
      </w:r>
      <w:r>
        <w:rPr>
          <w:b/>
        </w:rPr>
        <w:t>relativen Fahruntüchtigkeit</w:t>
      </w:r>
      <w:r>
        <w:t xml:space="preserve"> im Sinne des § 316 Abs. 1 StGB. Ob darüber hinaus die Voraussetzungen des § 315c StGB (konkrete Gefährdung) gegeben sind, bleibt der strafrechtlichen Würdigung vorbehalten.</w:t>
      </w:r>
    </w:p>
    <w:p/>
    <w:p>
      <w:pPr>
        <w:jc w:val="left"/>
      </w:pPr>
      <w:r>
        <w:rPr>
          <w:b/>
        </w:rPr>
        <w:t>Unterschrift und Siegel:</w:t>
      </w:r>
    </w:p>
    <w:p>
      <w:pPr>
        <w:jc w:val="left"/>
      </w:pPr>
      <w:r>
        <w:t>Prof. Dr. med. Gerd Falkenrath</w:t>
      </w:r>
    </w:p>
    <w:p>
      <w:pPr>
        <w:jc w:val="left"/>
      </w:pPr>
      <w:r>
        <w:t>Direktor, Institut für Rechtsmedizin</w:t>
      </w:r>
    </w:p>
    <w:p>
      <w:pPr>
        <w:jc w:val="left"/>
      </w:pPr>
      <w:r>
        <w:t>Universitätsklinikum Essen</w:t>
      </w:r>
    </w:p>
    <w:p>
      <w:pPr>
        <w:jc w:val="left"/>
      </w:pPr>
      <w:r>
        <w:t>Essen, 16. Januar 2026</w:t>
      </w:r>
    </w:p>
    <w:p/>
    <w:p>
      <w:pPr>
        <w:jc w:val="left"/>
      </w:pPr>
      <w:r>
        <w:rPr>
          <w:i/>
        </w:rPr>
        <w:t>Kopie erhalten Kanzlei Hoffmann Verkehrsrecht, 22.01.2026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Staatsanwaltschaft Hagen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Staatsanwaltschaft Hagen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83 Js 7411/26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