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 § 315c StGB (Gefährdung des Straßenverkehrs)</w:t>
      </w:r>
    </w:p>
    <w:p>
      <w:pPr>
        <w:jc w:val="left"/>
      </w:pPr>
      <w:r>
        <w:rPr>
          <w:b/>
        </w:rPr>
        <w:t>Behörde:</w:t>
      </w:r>
      <w:r>
        <w:t xml:space="preserve"> Kreispolizeibehörde Märkischer Kreis</w:t>
      </w:r>
    </w:p>
    <w:p>
      <w:pPr>
        <w:jc w:val="left"/>
      </w:pPr>
      <w:r>
        <w:rPr>
          <w:b/>
        </w:rPr>
        <w:t>Strafanzeige erstattet gegen:</w:t>
      </w:r>
      <w:r>
        <w:t xml:space="preserve"> Holger Tannenbruck, geb. 17.03.1973, Herscheider Str. 44, 58507 Lüdenscheid</w:t>
      </w:r>
    </w:p>
    <w:p>
      <w:pPr>
        <w:jc w:val="left"/>
      </w:pPr>
      <w:r>
        <w:rPr>
          <w:b/>
        </w:rPr>
        <w:t>Datum der Anzeige:</w:t>
      </w:r>
      <w:r>
        <w:t xml:space="preserve"> 12.01.2026 (Polizei) → Weiterleitung StA Hagen</w:t>
      </w:r>
    </w:p>
    <w:p>
      <w:pPr>
        <w:jc w:val="left"/>
      </w:pPr>
      <w:r>
        <w:rPr>
          <w:b/>
        </w:rPr>
        <w:t>Aktenzeichen StA Hagen:</w:t>
      </w:r>
      <w:r>
        <w:t xml:space="preserve"> 83 Js 7411/26</w:t>
      </w:r>
    </w:p>
    <w:p>
      <w:pPr>
        <w:jc w:val="left"/>
      </w:pPr>
      <w:r>
        <w:rPr>
          <w:b/>
        </w:rPr>
        <w:t>Sachbearbeiterin StA Hagen:</w:t>
      </w:r>
      <w:r>
        <w:t xml:space="preserve"> StA'in Dr. Petra Lehmkuhl</w:t>
      </w:r>
    </w:p>
    <w:p/>
    <w:p>
      <w:pPr>
        <w:pStyle w:val="Heading2"/>
      </w:pPr>
      <w:r>
        <w:rPr>
          <w:rFonts w:ascii="Times New Roman" w:hAnsi="Times New Roman"/>
        </w:rPr>
        <w:t>I. Sachverhaltsdarstellung der Strafanzeige</w:t>
      </w:r>
    </w:p>
    <w:p>
      <w:pPr>
        <w:jc w:val="left"/>
      </w:pPr>
      <w:r>
        <w:t>Am 12.01.2026 gegen 01:30 Uhr befuhr Holger Tannenbruck die Bundesautobahn A45 (Sauerlandlinie) in Fahrtrichtung Hagen auf der Mittelspur. Der Betroffene stand zu diesem Zeitpunkt unter Alkoholeinfluss (Blutalkoholkonzentration zur Unfallzeit nach Rückrechnung: 1,21–1,44 ‰, vgl. Gutachten Institut für Rechtsmedizin Uniklinik Essen vom 16.01.2026, Az. RM-2026-00417).</w:t>
      </w:r>
    </w:p>
    <w:p>
      <w:pPr>
        <w:jc w:val="left"/>
      </w:pPr>
      <w:r>
        <w:t>Der Betroffene fuhr mit einer Geschwindigkeit von ca. 100 km/h (stationäre Messung 102 km/h) auf den vor ihm fahrenden, verlangsamenden Sattelzug der Spedition Niermann (Fahrer: Tomasz Wieczorek) auf. Durch den Aufprall wurde die Beifahrerin des Betroffenen, Helga Vornberg (74), schwer verletzt (HWS-Distorsion Grad II, Querfortsatzfraktur LWK 3 — stationäre Behandlung Marienkrankenhaus Lüdenscheid).</w:t>
      </w:r>
    </w:p>
    <w:p>
      <w:pPr>
        <w:jc w:val="left"/>
      </w:pPr>
      <w:r>
        <w:t>Ein Zeuge (Bernhard Hockstein, Standstreifen-PKW ca. 200 m hinter Unfallstelle) gab an, Tannenbruck habe kurz vor dem Aufprall einen Spurwechsel vollzogen.</w:t>
      </w:r>
    </w:p>
    <w:p/>
    <w:p>
      <w:pPr>
        <w:pStyle w:val="Heading2"/>
      </w:pPr>
      <w:r>
        <w:rPr>
          <w:rFonts w:ascii="Times New Roman" w:hAnsi="Times New Roman"/>
        </w:rPr>
        <w:t>II. Rechtliche Würdigung der Strafverfolgungsbehörde</w:t>
      </w:r>
    </w:p>
    <w:p>
      <w:pPr>
        <w:pStyle w:val="Heading3"/>
      </w:pPr>
      <w:r>
        <w:rPr>
          <w:rFonts w:ascii="Times New Roman" w:hAnsi="Times New Roman"/>
        </w:rPr>
        <w:t>Einschlägige Straftatbestände</w:t>
      </w:r>
    </w:p>
    <w:p>
      <w:pPr>
        <w:jc w:val="left"/>
      </w:pPr>
      <w:r>
        <w:rPr>
          <w:b/>
        </w:rPr>
        <w:t>§ 315c Abs. 1 Nr. 1a StGB — Gefährdung des Straßenverkehrs durch Fahrunsicherheit</w:t>
      </w:r>
    </w:p>
    <w:p>
      <w:pPr>
        <w:ind w:left="567"/>
      </w:pPr>
      <w:r>
        <w:rPr>
          <w:i/>
        </w:rPr>
        <w:t>„Wer im Straßenverkehr ein Fahrzeug führt, obwohl er infolge des Genusses alkoholischer Getränke [...] nicht in der Lage ist, das Fahrzeug sicher zu führen, und dadurch Leib oder Leben eines anderen Menschen oder fremde Sachen von bedeutendem Wert gefährdet, wird mit Freiheitsstrafe bis zu fünf Jahren oder mit Geldstrafe bestraft."</w:t>
      </w:r>
    </w:p>
    <w:p>
      <w:pPr>
        <w:jc w:val="left"/>
      </w:pPr>
      <w:r>
        <w:t>Alternativ, bei Verneinung konkreter Gefährdung:</w:t>
      </w:r>
    </w:p>
    <w:p>
      <w:pPr>
        <w:jc w:val="left"/>
      </w:pPr>
      <w:r>
        <w:rPr>
          <w:b/>
        </w:rPr>
        <w:t>§ 316 Abs. 1 StGB — Trunkenheit im Verkehr</w:t>
      </w:r>
    </w:p>
    <w:p>
      <w:pPr>
        <w:ind w:left="567"/>
      </w:pPr>
      <w:r>
        <w:rPr>
          <w:i/>
        </w:rPr>
        <w:t>„Wer im Straßenverkehr ein Fahrzeug führt, obwohl er infolge des Genusses alkoholischer Getränke [...] nicht in der Lage ist, das Fahrzeug sicher zu führen, wird mit Freiheitsstrafe bis zu einem Jahr oder mit Geldstrafe bestraft, wenn die Tat nicht in § 315a oder § 315c mit Strafe bedroht ist."</w:t>
      </w:r>
    </w:p>
    <w:p>
      <w:pPr>
        <w:jc w:val="left"/>
      </w:pPr>
      <w:r>
        <w:rPr>
          <w:b/>
        </w:rPr>
        <w:t>§ 315c Abs. 1 Nr. 2b StGB — Unzureichender Folgeabstand</w:t>
      </w:r>
    </w:p>
    <w:p>
      <w:pPr>
        <w:jc w:val="left"/>
      </w:pPr>
      <w:r>
        <w:t>Neben der Trunkenheit wird dem Betroffenen vorgeworfen, grob verkehrswidrig und rücksichtslos den erforderlichen Sicherheitsabstand zu einem vorausfahrenden Fahrzeug nicht eingehalten zu haben. Bei einer Ausgangsgeschwindigkeit von 100 km/h wäre ein Mindestabstand von 50 m (halber Tachowert in Meter) geboten gewesen; die Bremsspuren deuten auf einen tatsächlichen Abstand von unter 30 m hin.</w:t>
      </w:r>
    </w:p>
    <w:p/>
    <w:p>
      <w:pPr>
        <w:pStyle w:val="Heading2"/>
      </w:pPr>
      <w:r>
        <w:rPr>
          <w:rFonts w:ascii="Times New Roman" w:hAnsi="Times New Roman"/>
        </w:rPr>
        <w:t>III. Anmerkungen der Strafverfolgungsbehörde (aus Verfügung StA Hagen, 20.01.2026)</w:t>
      </w:r>
    </w:p>
    <w:p>
      <w:pPr>
        <w:jc w:val="left"/>
      </w:pPr>
      <w:r>
        <w:t>Die StA Hagen hat mit Verfügung vom 20.01.2026 das Ermittlungsverfahren eingeleitet. Folgende Ermittlungsmaßnahmen sind veranlasst:</w:t>
      </w:r>
    </w:p>
    <w:p>
      <w:pPr>
        <w:pStyle w:val="ListNumber"/>
      </w:pPr>
      <w:r>
        <w:t>Auswertung Blutalkoholgutachten (eingegangen 20.01.2026)</w:t>
      </w:r>
    </w:p>
    <w:p>
      <w:pPr>
        <w:pStyle w:val="ListNumber"/>
      </w:pPr>
      <w:r>
        <w:t>Einvernahme Zeuge Bernhard Hockstein (Ladung 03.02.2026)</w:t>
      </w:r>
    </w:p>
    <w:p>
      <w:pPr>
        <w:pStyle w:val="ListNumber"/>
      </w:pPr>
      <w:r>
        <w:t>Einvernahme LKW-Fahrer Tomasz Wieczorek (Ladung über Spedition Niermann, 03.02.2026)</w:t>
      </w:r>
    </w:p>
    <w:p>
      <w:pPr>
        <w:pStyle w:val="ListNumber"/>
      </w:pPr>
      <w:r>
        <w:t>Sachverständigengutachten Unfallrekonstruktion (beauftragt: Dipl.-Ing. Klaus Rennsteig, Gerichtsgutachter Hagen — vgl. Aktenstück 09)</w:t>
      </w:r>
    </w:p>
    <w:p>
      <w:pPr>
        <w:pStyle w:val="ListNumber"/>
      </w:pPr>
      <w:r>
        <w:t>Ärztliche Atteste Helga Vornberg (angefordert bei Marienkrankenhaus Lüdenscheid)</w:t>
      </w:r>
    </w:p>
    <w:p>
      <w:pPr>
        <w:pStyle w:val="ListNumber"/>
      </w:pPr>
      <w:r>
        <w:t xml:space="preserve">Akteneinsicht Tannenbruck: Frist zur Stellungnahme gesetzt bis </w:t>
      </w:r>
      <w:r>
        <w:rPr>
          <w:b/>
        </w:rPr>
        <w:t>20.02.2026</w:t>
      </w:r>
    </w:p>
    <w:p/>
    <w:p>
      <w:pPr>
        <w:pStyle w:val="Heading2"/>
      </w:pPr>
      <w:r>
        <w:rPr>
          <w:rFonts w:ascii="Times New Roman" w:hAnsi="Times New Roman"/>
        </w:rPr>
        <w:t>IV. Verteidigerstrategie — Notizen RA Hoffmann</w:t>
      </w:r>
    </w:p>
    <w:p>
      <w:pPr>
        <w:jc w:val="left"/>
      </w:pPr>
      <w:r>
        <w:rPr>
          <w:b/>
        </w:rPr>
        <w:t>Kernfrage 1 — § 315c vs. § 316 StGB:</w:t>
      </w:r>
    </w:p>
    <w:p>
      <w:pPr>
        <w:jc w:val="left"/>
      </w:pPr>
      <w:r>
        <w:t xml:space="preserve">Die Abgrenzung zwischen § 316 StGB (Trunkenheit ohne konkrete Gefährdung, max. 1 Jahr Freiheitsstrafe oder Geldstrafe) und § 315c StGB (Trunkenheit mit konkreter Gefährdung, max. 5 Jahre) ist entscheidend. Der BGH verlangt für § 315c StGB eine </w:t>
      </w:r>
      <w:r>
        <w:rPr>
          <w:b/>
        </w:rPr>
        <w:t>individualisierende Gefährdung einer bestimmten Person oder Sache</w:t>
      </w:r>
      <w:r>
        <w:t xml:space="preserve"> — die bloße abstrakte Unfallgefahr reicht nicht (BGH, NJW 2003, 1613).</w:t>
      </w:r>
    </w:p>
    <w:p>
      <w:pPr>
        <w:jc w:val="left"/>
      </w:pPr>
      <w:r>
        <w:t>Vortrag: Der Auffahrunfall allein belegt noch keine konkrete Gefährdung i.S.d. § 315c StGB, wenn der Unfall auch bei nüchternem Fahrer nicht vermieden worden wäre (hypothetischer Kausalverlauf, Kriterium des „äquivalenten Verhaltens Nüchternfahrer"). Das Sachverständigengutachten wird dies klären müssen.</w:t>
      </w:r>
    </w:p>
    <w:p>
      <w:pPr>
        <w:jc w:val="left"/>
      </w:pPr>
      <w:r>
        <w:rPr>
          <w:b/>
        </w:rPr>
        <w:t>Kernfrage 2 — Mitverursachung durch LKW:</w:t>
      </w:r>
    </w:p>
    <w:p>
      <w:pPr>
        <w:jc w:val="left"/>
      </w:pPr>
      <w:r>
        <w:t>Wieczorek-Bremsmanöver auf Autobahn ohne erkennbaren Grund? Prüfung Notbremsung vs. Panikbremsung → Mitverschulden des LKW-Fahrers, ggf. § 1 StVO Vorsatz. Kameraauswertung LKW (falls Dashcam) und Tachographen-Daten anfordern!</w:t>
      </w:r>
    </w:p>
    <w:p>
      <w:pPr>
        <w:jc w:val="left"/>
      </w:pPr>
      <w:r>
        <w:rPr>
          <w:b/>
        </w:rPr>
        <w:t>Kernfrage 3 — Fahrerspurwechsel (Zeuge Hockstein):</w:t>
      </w:r>
    </w:p>
    <w:p>
      <w:pPr>
        <w:jc w:val="left"/>
      </w:pPr>
      <w:r>
        <w:t>Entfernung Hockstein zur Unfallstelle ca. 200 m, Nacht, Schneeregen. Glaubwürdigkeit und Erkennbarkeit eines Spurwechsels aus dieser Entfernung und bei diesen Witterungsverhältnissen kritisch hinterfragen. Rechts auf Konfrontation mit Zeugen (§ 240 StPO) wahrnehmen.</w:t>
      </w:r>
    </w:p>
    <w:p>
      <w:pPr>
        <w:jc w:val="left"/>
      </w:pPr>
      <w:r>
        <w:rPr>
          <w:b/>
        </w:rPr>
        <w:t>Empfehlung:</w:t>
      </w:r>
      <w:r>
        <w:t xml:space="preserve"> Einlassung zum gegenwärtigen Zeitpunkt verweigern (§ 136 Abs. 1 Satz 2 StPO). Vollständige Akteneinsicht abwarten, Gutachten auswerten, dann strategische Stellungnahme.</w:t>
      </w:r>
    </w:p>
    <w:p/>
    <w:p>
      <w:pPr>
        <w:pStyle w:val="Heading2"/>
      </w:pPr>
      <w:r>
        <w:rPr>
          <w:rFonts w:ascii="Times New Roman" w:hAnsi="Times New Roman"/>
        </w:rPr>
        <w:t>V. Strafmaß-Prognose (vorläufig)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Szenario</w:t>
            </w:r>
          </w:p>
        </w:tc>
        <w:tc>
          <w:tcPr>
            <w:tcW w:type="dxa" w:w="2268"/>
          </w:tcPr>
          <w:p>
            <w:r>
              <w:rPr>
                <w:rFonts w:ascii="Times New Roman" w:hAnsi="Times New Roman"/>
                <w:b/>
                <w:sz w:val="20"/>
              </w:rPr>
              <w:t>Tatbestand</w:t>
            </w:r>
          </w:p>
        </w:tc>
        <w:tc>
          <w:tcPr>
            <w:tcW w:type="dxa" w:w="2268"/>
          </w:tcPr>
          <w:p>
            <w:r>
              <w:rPr>
                <w:rFonts w:ascii="Times New Roman" w:hAnsi="Times New Roman"/>
                <w:b/>
                <w:sz w:val="20"/>
              </w:rPr>
              <w:t>Strafrahmen</w:t>
            </w:r>
          </w:p>
        </w:tc>
        <w:tc>
          <w:tcPr>
            <w:tcW w:type="dxa" w:w="2268"/>
          </w:tcPr>
          <w:p>
            <w:r>
              <w:rPr>
                <w:rFonts w:ascii="Times New Roman" w:hAnsi="Times New Roman"/>
                <w:b/>
                <w:sz w:val="20"/>
              </w:rPr>
              <w:t>Realistische Erwartung</w:t>
            </w:r>
          </w:p>
        </w:tc>
      </w:tr>
      <w:tr>
        <w:tc>
          <w:tcPr>
            <w:tcW w:type="dxa" w:w="2268"/>
          </w:tcPr>
          <w:p>
            <w:r>
              <w:rPr>
                <w:rFonts w:ascii="Times New Roman" w:hAnsi="Times New Roman"/>
                <w:sz w:val="20"/>
              </w:rPr>
              <w:t>Optimum: nur § 316 StGB</w:t>
            </w:r>
          </w:p>
        </w:tc>
        <w:tc>
          <w:tcPr>
            <w:tcW w:type="dxa" w:w="2268"/>
          </w:tcPr>
          <w:p>
            <w:r>
              <w:rPr>
                <w:rFonts w:ascii="Times New Roman" w:hAnsi="Times New Roman"/>
                <w:sz w:val="20"/>
              </w:rPr>
              <w:t>Trunkenheit ohne konk. Gef.</w:t>
            </w:r>
          </w:p>
        </w:tc>
        <w:tc>
          <w:tcPr>
            <w:tcW w:type="dxa" w:w="2268"/>
          </w:tcPr>
          <w:p>
            <w:r>
              <w:rPr>
                <w:rFonts w:ascii="Times New Roman" w:hAnsi="Times New Roman"/>
                <w:sz w:val="20"/>
              </w:rPr>
              <w:t>Geldstrafe o. Frststr. bis 1 J.</w:t>
            </w:r>
          </w:p>
        </w:tc>
        <w:tc>
          <w:tcPr>
            <w:tcW w:type="dxa" w:w="2268"/>
          </w:tcPr>
          <w:p>
            <w:r>
              <w:rPr>
                <w:rFonts w:ascii="Times New Roman" w:hAnsi="Times New Roman"/>
                <w:sz w:val="20"/>
              </w:rPr>
              <w:t>30–60 Tagessätze Geldstrafe</w:t>
            </w:r>
          </w:p>
        </w:tc>
      </w:tr>
      <w:tr>
        <w:tc>
          <w:tcPr>
            <w:tcW w:type="dxa" w:w="2268"/>
          </w:tcPr>
          <w:p>
            <w:r>
              <w:rPr>
                <w:rFonts w:ascii="Times New Roman" w:hAnsi="Times New Roman"/>
                <w:sz w:val="20"/>
              </w:rPr>
              <w:t>Mittel: § 315c Abs. 1 Nr. 1a</w:t>
            </w:r>
          </w:p>
        </w:tc>
        <w:tc>
          <w:tcPr>
            <w:tcW w:type="dxa" w:w="2268"/>
          </w:tcPr>
          <w:p>
            <w:r>
              <w:rPr>
                <w:rFonts w:ascii="Times New Roman" w:hAnsi="Times New Roman"/>
                <w:sz w:val="20"/>
              </w:rPr>
              <w:t>Mit konkr. Gefährdung</w:t>
            </w:r>
          </w:p>
        </w:tc>
        <w:tc>
          <w:tcPr>
            <w:tcW w:type="dxa" w:w="2268"/>
          </w:tcPr>
          <w:p>
            <w:r>
              <w:rPr>
                <w:rFonts w:ascii="Times New Roman" w:hAnsi="Times New Roman"/>
                <w:sz w:val="20"/>
              </w:rPr>
              <w:t>Freiheitsstr. bis 5 J.</w:t>
            </w:r>
          </w:p>
        </w:tc>
        <w:tc>
          <w:tcPr>
            <w:tcW w:type="dxa" w:w="2268"/>
          </w:tcPr>
          <w:p>
            <w:r>
              <w:rPr>
                <w:rFonts w:ascii="Times New Roman" w:hAnsi="Times New Roman"/>
                <w:sz w:val="20"/>
              </w:rPr>
              <w:t>90 Tagessätze o. Bew.-Strafe</w:t>
            </w:r>
          </w:p>
        </w:tc>
      </w:tr>
      <w:tr>
        <w:tc>
          <w:tcPr>
            <w:tcW w:type="dxa" w:w="2268"/>
          </w:tcPr>
          <w:p>
            <w:r>
              <w:rPr>
                <w:rFonts w:ascii="Times New Roman" w:hAnsi="Times New Roman"/>
                <w:sz w:val="20"/>
              </w:rPr>
              <w:t>Ungünstig: § 315c + Körperverletzung</w:t>
            </w:r>
          </w:p>
        </w:tc>
        <w:tc>
          <w:tcPr>
            <w:tcW w:type="dxa" w:w="2268"/>
          </w:tcPr>
          <w:p>
            <w:r>
              <w:rPr>
                <w:rFonts w:ascii="Times New Roman" w:hAnsi="Times New Roman"/>
                <w:sz w:val="20"/>
              </w:rPr>
              <w:t>Mit schwerer Körperverletzung</w:t>
            </w:r>
          </w:p>
        </w:tc>
        <w:tc>
          <w:tcPr>
            <w:tcW w:type="dxa" w:w="2268"/>
          </w:tcPr>
          <w:p>
            <w:r>
              <w:rPr>
                <w:rFonts w:ascii="Times New Roman" w:hAnsi="Times New Roman"/>
                <w:sz w:val="20"/>
              </w:rPr>
              <w:t>Erhöhter Strafrahmen</w:t>
            </w:r>
          </w:p>
        </w:tc>
        <w:tc>
          <w:tcPr>
            <w:tcW w:type="dxa" w:w="2268"/>
          </w:tcPr>
          <w:p>
            <w:r>
              <w:rPr>
                <w:rFonts w:ascii="Times New Roman" w:hAnsi="Times New Roman"/>
                <w:sz w:val="20"/>
              </w:rPr>
              <w:t>Bew.-Strafe 6–10 Monate</w:t>
            </w:r>
          </w:p>
        </w:tc>
      </w:tr>
    </w:tbl>
    <w:p>
      <w:pPr>
        <w:jc w:val="left"/>
      </w:pPr>
      <w:r>
        <w:t>Führerscheinsperrfrist nach § 69a StGB: bei § 316 StGB i.d.R. 6–12 Monate, bei § 315c StGB 9–18 Monate.</w:t>
      </w:r>
    </w:p>
    <w:p/>
    <w:p>
      <w:pPr>
        <w:jc w:val="left"/>
      </w:pPr>
      <w:r>
        <w:rPr>
          <w:i/>
        </w:rPr>
        <w:t>Notiz: RA Sebastian Hoffmann — Stand 22.01.2026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Kreispolizeibehörde Märkischer Kreis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Kreispolizeibehörde Märkischer Kreis</w:t>
    </w:r>
  </w:p>
  <w:p>
    <w:pPr>
      <w:jc w:val="left"/>
      <w:pBdr>
        <w:bottom w:val="single" w:sz="6" w:space="2" w:color="3B3F45"/>
      </w:pBdr>
    </w:pPr>
    <w:r>
      <w:rPr>
        <w:rFonts w:ascii="Times New Roman" w:hAnsi="Times New Roman"/>
        <w:color w:val="6B6B66"/>
        <w:sz w:val="16"/>
      </w:rPr>
      <w:t>Behörde · Aktenzeichen StA Hagen: 83 Js 7411/26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