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Haftungsklage der Allianz gegen HUK-Coburg — LG Hagen 4 O 211/26</w:t>
      </w:r>
    </w:p>
    <w:p>
      <w:pPr>
        <w:jc w:val="left"/>
      </w:pPr>
      <w:r>
        <w:rPr>
          <w:b/>
        </w:rPr>
        <w:t>Gericht:</w:t>
      </w:r>
      <w:r>
        <w:t xml:space="preserve"> Landgericht Hagen, 4. Zivilkammer</w:t>
      </w:r>
    </w:p>
    <w:p>
      <w:pPr>
        <w:jc w:val="left"/>
      </w:pPr>
      <w:r>
        <w:rPr>
          <w:b/>
        </w:rPr>
        <w:t>Aktenzeichen:</w:t>
      </w:r>
      <w:r>
        <w:t xml:space="preserve"> 4 O 211/26</w:t>
      </w:r>
    </w:p>
    <w:p>
      <w:pPr>
        <w:jc w:val="left"/>
      </w:pPr>
      <w:r>
        <w:rPr>
          <w:b/>
        </w:rPr>
        <w:t>Klägerin:</w:t>
      </w:r>
      <w:r>
        <w:t xml:space="preserve"> Allianz Versicherungs-AG, Königinstraße 28, 80802 München</w:t>
      </w:r>
    </w:p>
    <w:p>
      <w:pPr>
        <w:jc w:val="left"/>
      </w:pPr>
      <w:r>
        <w:t>(Prozessbevollmächtigte: RA'in Dr. Simone Kaltenberg, Breuer &amp; Kaltenberg, Dortmund)</w:t>
      </w:r>
    </w:p>
    <w:p>
      <w:pPr>
        <w:jc w:val="left"/>
      </w:pPr>
      <w:r>
        <w:rPr>
          <w:b/>
        </w:rPr>
        <w:t>Beklagte 1:</w:t>
      </w:r>
      <w:r>
        <w:t xml:space="preserve"> HUK-Coburg Allgemeine Versicherungs-AG, Bahnhofsplatz 1, 96444 Coburg</w:t>
      </w:r>
    </w:p>
    <w:p>
      <w:pPr>
        <w:jc w:val="left"/>
      </w:pPr>
      <w:r>
        <w:rPr>
          <w:b/>
        </w:rPr>
        <w:t>Beklagter 2:</w:t>
      </w:r>
      <w:r>
        <w:t xml:space="preserve"> Holger Tannenbruck, Herscheider Straße 44, 58507 Lüdenscheid</w:t>
      </w:r>
    </w:p>
    <w:p>
      <w:pPr>
        <w:jc w:val="left"/>
      </w:pPr>
      <w:r>
        <w:t>(Beklagtenvertreter: RA Sebastian Hoffmann, Kanzlei Hoffmann Verkehrsrecht, Lüdenscheid)</w:t>
      </w:r>
    </w:p>
    <w:p>
      <w:pPr>
        <w:jc w:val="left"/>
      </w:pPr>
      <w:r>
        <w:rPr>
          <w:b/>
        </w:rPr>
        <w:t>Klageeinreichung:</w:t>
      </w:r>
      <w:r>
        <w:t xml:space="preserve"> 05.03.2026</w:t>
      </w:r>
    </w:p>
    <w:p>
      <w:pPr>
        <w:jc w:val="left"/>
      </w:pPr>
      <w:r>
        <w:rPr>
          <w:b/>
        </w:rPr>
        <w:t>Zustellung:</w:t>
      </w:r>
      <w:r>
        <w:t xml:space="preserve"> 10.03.2026</w:t>
      </w:r>
    </w:p>
    <w:p/>
    <w:p>
      <w:pPr>
        <w:pStyle w:val="Heading2"/>
      </w:pPr>
      <w:r>
        <w:rPr>
          <w:rFonts w:ascii="Times New Roman" w:hAnsi="Times New Roman"/>
        </w:rPr>
        <w:t>I. Klageanträge der Allianz</w:t>
      </w:r>
    </w:p>
    <w:p>
      <w:pPr>
        <w:jc w:val="left"/>
      </w:pPr>
      <w:r>
        <w:t>Die Klägerin beantragt:</w:t>
      </w:r>
    </w:p>
    <w:p>
      <w:pPr>
        <w:pStyle w:val="ListNumber"/>
      </w:pPr>
      <w:r>
        <w:t xml:space="preserve">Die Beklagte 1 (HUK-Coburg) und den Beklagten 2 (Tannenbruck) werden als Gesamtschuldner verurteilt, an die Klägerin </w:t>
      </w:r>
      <w:r>
        <w:rPr>
          <w:b/>
        </w:rPr>
        <w:t>7.010,00 EUR</w:t>
      </w:r>
      <w:r>
        <w:t xml:space="preserve"> (Schadensaufstellung Niermann) nebst Zinsen i.H.v. 5 Prozentpunkten über dem Basiszinssatz seit 02.03.2026 zu zahlen.</w:t>
      </w:r>
    </w:p>
    <w:p>
      <w:pPr>
        <w:pStyle w:val="ListNumber"/>
      </w:pPr>
      <w:r>
        <w:t>Hilfsweise: Die Beklagte 1 und der Beklagte 2 werden zu einem von dem Gericht nach § 17 Abs. 1 StVG festzusetzenden Anteil an dem obigen Betrag verurteilt.</w:t>
      </w:r>
    </w:p>
    <w:p>
      <w:pPr>
        <w:pStyle w:val="ListNumber"/>
      </w:pPr>
      <w:r>
        <w:t>Die Beklagten tragen die Kosten des Verfahrens.</w:t>
      </w:r>
    </w:p>
    <w:p/>
    <w:p>
      <w:pPr>
        <w:pStyle w:val="Heading2"/>
      </w:pPr>
      <w:r>
        <w:rPr>
          <w:rFonts w:ascii="Times New Roman" w:hAnsi="Times New Roman"/>
        </w:rPr>
        <w:t>II. Klagebegründung (Zusammenfassung)</w:t>
      </w:r>
    </w:p>
    <w:p>
      <w:pPr>
        <w:jc w:val="left"/>
      </w:pPr>
      <w:r>
        <w:rPr>
          <w:b/>
        </w:rPr>
        <w:t>Zum Schadenshergang:</w:t>
      </w:r>
      <w:r>
        <w:t xml:space="preserve"> Die Klägerin wiederholt den Unfallhergang wie polizeilich dokumentiert: Tannenbruck fuhr mit 102 km/h in einer 80er-Baustellenzone unter Alkohol (0,98 ‰ BAK) auf den Sattelzug ihrer Versicherungsnehmerin auf.</w:t>
      </w:r>
    </w:p>
    <w:p>
      <w:pPr>
        <w:jc w:val="left"/>
      </w:pPr>
      <w:r>
        <w:rPr>
          <w:b/>
        </w:rPr>
        <w:t>Zur Haftungsquote:</w:t>
      </w:r>
      <w:r>
        <w:t xml:space="preserve"> Die Klägerin fordert primär 100 % Haftung von Tannenbruck/HUK-Coburg. Hilfsweise macht sie mindestens 50 % geltend (gemäß ihrer vorgerichtlichen Korrespondenz). Die Allianz argumentiert: Selbst wenn die vorläufige Forderung von 50/50 nach dem Gutachten Rennsteig auf 75/25 korrigiert wird, macht 75 % von 7.010 EUR = 5.257,50 EUR einen klageweisen Vorteil gegenüber der vorgerichtlich angebotenen Regulierung aus.</w:t>
      </w:r>
    </w:p>
    <w:p>
      <w:pPr>
        <w:jc w:val="left"/>
      </w:pPr>
      <w:r>
        <w:rPr>
          <w:b/>
        </w:rPr>
        <w:t>Zur Passivlegitimation Tannenbruck:</w:t>
      </w:r>
      <w:r>
        <w:t xml:space="preserve"> Der Beklagte 2 haftet gemäß § 18 Abs. 1 StVG als Fahrzeugführer und § 823 Abs. 1 BGB (unerlaubte Handlung). Die Beklagte 1 haftet als Direktanspruchsgegner gemäß § 115 Abs. 1 VVG (Haftpflichtversicherung).</w:t>
      </w:r>
    </w:p>
    <w:p/>
    <w:p>
      <w:pPr>
        <w:pStyle w:val="Heading2"/>
      </w:pPr>
      <w:r>
        <w:rPr>
          <w:rFonts w:ascii="Times New Roman" w:hAnsi="Times New Roman"/>
        </w:rPr>
        <w:t>III. Klageerwiderung RA Hoffmann (Entwurf, 07.04.2026)</w:t>
      </w:r>
    </w:p>
    <w:p>
      <w:pPr>
        <w:jc w:val="left"/>
      </w:pPr>
      <w:r>
        <w:rPr>
          <w:b/>
        </w:rPr>
        <w:t>Im Namen des Beklagten 2 (Tannenbruck):</w:t>
      </w:r>
    </w:p>
    <w:p>
      <w:pPr>
        <w:pStyle w:val="Heading3"/>
      </w:pPr>
      <w:r>
        <w:rPr>
          <w:rFonts w:ascii="Times New Roman" w:hAnsi="Times New Roman"/>
        </w:rPr>
        <w:t>1. Zur Haftungsquote</w:t>
      </w:r>
    </w:p>
    <w:p>
      <w:pPr>
        <w:jc w:val="left"/>
      </w:pPr>
      <w:r>
        <w:t>Wir bestreiten eine 100%ige Haftung des Beklagten 2. Das Sachverständigengutachten des Dipl.-Ing. Rennsteig (SV-2026-A45-0184) hat eindeutig festgestellt:</w:t>
      </w:r>
    </w:p>
    <w:p>
      <w:pPr>
        <w:pStyle w:val="ListBullet"/>
      </w:pPr>
      <w:r>
        <w:t>Der Sattelzug der Klägerin verlangsamte von 72 auf 42 km/h in ca. 8 Sekunden auf einer Nacht-Autobahn bei Schneeregen und Glätte</w:t>
      </w:r>
    </w:p>
    <w:p>
      <w:pPr>
        <w:pStyle w:val="ListBullet"/>
      </w:pPr>
      <w:r>
        <w:t>Das Bremsmanöver war durch ein von Wieczorek nicht eindeutig identifiziertes Objekt ausgelöst</w:t>
      </w:r>
    </w:p>
    <w:p>
      <w:pPr>
        <w:pStyle w:val="ListBullet"/>
      </w:pPr>
      <w:r>
        <w:t>Die erhöhte Betriebsgefahr des Sattelzuges (40 t Fahrzeugmasse) ist gemäß § 17 Abs. 1 StVG bei der Haftungsabwägung zu berücksichtigen</w:t>
      </w:r>
    </w:p>
    <w:p>
      <w:pPr>
        <w:pStyle w:val="ListBullet"/>
      </w:pPr>
      <w:r>
        <w:t xml:space="preserve">Der gutachterlich festgestellte Mitverursachungsanteil des Sattelzuges beträgt </w:t>
      </w:r>
      <w:r>
        <w:rPr>
          <w:b/>
        </w:rPr>
        <w:t>20–30 %</w:t>
      </w:r>
    </w:p>
    <w:p>
      <w:pPr>
        <w:jc w:val="left"/>
      </w:pPr>
      <w:r>
        <w:t>Wir beantragen, die Klage in Höhe von mindestens 25 % des Klageanspruchs abzuweisen.</w:t>
      </w:r>
    </w:p>
    <w:p>
      <w:pPr>
        <w:pStyle w:val="Heading3"/>
      </w:pPr>
      <w:r>
        <w:rPr>
          <w:rFonts w:ascii="Times New Roman" w:hAnsi="Times New Roman"/>
        </w:rPr>
        <w:t>2. Zur Passivlegitimation (Beklagter 2 direkt)</w:t>
      </w:r>
    </w:p>
    <w:p>
      <w:pPr>
        <w:jc w:val="left"/>
      </w:pPr>
      <w:r>
        <w:t>Grundsätzlich besteht gegenüber dem geschädigten Dritten (Niermann/Allianz) eine direkte Haftung des Fahrzeugführers Tannenbruck nach § 18 StVG. Da jedoch die HUK-Coburg als Haftpflichtversichererin existiert und zur Leistung verpflichtet ist (§ 115 VVG), sollte die Klage primär gegen die HUK-Coburg gerichtet werden.</w:t>
      </w:r>
    </w:p>
    <w:p>
      <w:pPr>
        <w:jc w:val="left"/>
      </w:pPr>
      <w:r>
        <w:t xml:space="preserve">Wir beantragen für Tannenbruck: </w:t>
      </w:r>
      <w:r>
        <w:rPr>
          <w:b/>
        </w:rPr>
        <w:t>Haftung nur subsidiär</w:t>
      </w:r>
      <w:r>
        <w:t xml:space="preserve"> — primäre Inanspruchnahme der HUK-Coburg.</w:t>
      </w:r>
    </w:p>
    <w:p>
      <w:pPr>
        <w:pStyle w:val="Heading3"/>
      </w:pPr>
      <w:r>
        <w:rPr>
          <w:rFonts w:ascii="Times New Roman" w:hAnsi="Times New Roman"/>
        </w:rPr>
        <w:t>3. Zur Höhe des Schadens (Bestreiten im Einzelnen)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Klägerisch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Beklagtenseite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Fahrzeugschaden Auflieger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Anerkannt (Gutachten liegt vor)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Nutzungsausfall Sattelzug (3 Tage)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1.350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 — Nachweis erforderlich (Ersatzfahrzeug oder nachgewiesener Auftragsausfall?)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Bergekosten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Anerkannt soweit belegt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Gutachterkosten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 — Höhe der SV-Honorare im Rahmen?</w:t>
            </w:r>
          </w:p>
        </w:tc>
      </w:tr>
    </w:tbl>
    <w:p>
      <w:pPr>
        <w:jc w:val="left"/>
      </w:pPr>
      <w:r>
        <w:rPr>
          <w:b/>
        </w:rPr>
        <w:t>Beweisangebot:</w:t>
      </w:r>
      <w:r>
        <w:t xml:space="preserve"> Zeugeneinvernahme Tomasz Wieczorek, Vorlage Tachographendaten, SV Rennsteig als sachverständiger Zeuge.</w:t>
      </w:r>
    </w:p>
    <w:p>
      <w:pPr>
        <w:pStyle w:val="Heading3"/>
      </w:pPr>
      <w:r>
        <w:rPr>
          <w:rFonts w:ascii="Times New Roman" w:hAnsi="Times New Roman"/>
        </w:rPr>
        <w:t>4. Antrag auf Aussetzung wegen Strafverfahren</w:t>
      </w:r>
    </w:p>
    <w:p>
      <w:pPr>
        <w:jc w:val="left"/>
      </w:pPr>
      <w:r>
        <w:t>Gemäß § 149 ZPO beantragen wir die Aussetzung des Zivilverfahrens bis zur Beendigung des Strafverfahrens (Az. StA Hagen 83 Js 7411/26). Das Strafurteil wird Feststellungen treffen, die für die zivilrechtliche Haftungsquote unmittelbar relevant sind (§ 14 Abs. 2 EGZPO i.V.m. § 415 ff. ZPO zur Bindungswirkung von Strafurteilen).</w:t>
      </w:r>
    </w:p>
    <w:p/>
    <w:p>
      <w:pPr>
        <w:pStyle w:val="Heading2"/>
      </w:pPr>
      <w:r>
        <w:rPr>
          <w:rFonts w:ascii="Times New Roman" w:hAnsi="Times New Roman"/>
        </w:rPr>
        <w:t>IV. Stand des Verfahrens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Klageeinreichung Allianz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 Beklagte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Anzeige der Vertretung Tannenbruck durch RA Hoffmann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Klageerwiderung RA Hoffmann (Entwurf — eingereicht 09.04.2026)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Güterichtertermin angefordert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Erörterungstermin LG Hagen (voraussichtlich Juni 2026)</w:t>
            </w:r>
          </w:p>
        </w:tc>
      </w:tr>
    </w:tbl>
    <w:p>
      <w:pPr>
        <w:jc w:val="left"/>
      </w:pPr>
      <w:r>
        <w:rPr>
          <w:b/>
        </w:rPr>
        <w:t>Aktueller Status:</w:t>
      </w:r>
      <w:r>
        <w:t xml:space="preserve"> Klageerwiderung eingereicht, Güterichtertermin beantragt. RA Hoffmann koordiniert mit HUK-Coburg eine gemeinsame Strategie zur Quotenabwehr.</w:t>
      </w:r>
    </w:p>
    <w:p/>
    <w:p>
      <w:pPr>
        <w:jc w:val="left"/>
      </w:pPr>
      <w:r>
        <w:rPr>
          <w:i/>
        </w:rPr>
        <w:t>Verfahrensakte geführt bei Kanzlei Hoffmann Verkehrsrecht — Stand 10.04.2026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Hagen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Hagen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4. Zivilkammer · 4 O 211/26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