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 Erstgespräch und Mandantennotiz</w:t>
      </w:r>
    </w:p>
    <w:p>
      <w:pPr>
        <w:jc w:val="left"/>
      </w:pPr>
      <w:r>
        <w:rPr>
          <w:b/>
        </w:rPr>
        <w:t>Datum:</w:t>
      </w:r>
      <w:r>
        <w:t xml:space="preserve"> 22.05.2021, 10:00 Uhr</w:t>
      </w:r>
    </w:p>
    <w:p>
      <w:pPr>
        <w:jc w:val="left"/>
      </w:pPr>
      <w:r>
        <w:rPr>
          <w:b/>
        </w:rPr>
        <w:t>Ort:</w:t>
      </w:r>
      <w:r>
        <w:t xml:space="preserve"> Kanzlei Söll Rödelsteiner &amp; Partner mbB, Karolinenstraße 27, 90402 Nürnberg</w:t>
      </w:r>
    </w:p>
    <w:p>
      <w:pPr>
        <w:jc w:val="left"/>
      </w:pPr>
      <w:r>
        <w:rPr>
          <w:b/>
        </w:rPr>
        <w:t>Aktenzeichen:</w:t>
      </w:r>
      <w:r>
        <w:t xml:space="preserve"> 0918-2021/VA</w:t>
      </w:r>
    </w:p>
    <w:p>
      <w:pPr>
        <w:jc w:val="left"/>
      </w:pPr>
      <w:r>
        <w:rPr>
          <w:b/>
        </w:rPr>
        <w:t>Bearbeitende Anwältin:</w:t>
      </w:r>
      <w:r>
        <w:t xml:space="preserve"> Rechtsanwältin Helene Söll-Rödelsteiner, Fachanwältin für Familienrecht</w:t>
      </w:r>
    </w:p>
    <w:p>
      <w:pPr>
        <w:jc w:val="left"/>
      </w:pPr>
      <w:r>
        <w:rPr>
          <w:b/>
        </w:rPr>
        <w:t>Anwesend:</w:t>
      </w:r>
      <w:r>
        <w:t xml:space="preserve"> Frau Leonie Schäfer, geb. Winterstein (Mandantin)</w:t>
      </w:r>
    </w:p>
    <w:p>
      <w:pPr>
        <w:pStyle w:val="Heading2"/>
      </w:pPr>
      <w:r>
        <w:rPr>
          <w:rFonts w:ascii="Times New Roman" w:hAnsi="Times New Roman"/>
        </w:rPr>
        <w:t>Anlass</w:t>
      </w:r>
    </w:p>
    <w:p>
      <w:pPr>
        <w:jc w:val="left"/>
      </w:pPr>
      <w:r>
        <w:t>Die Mandantin ist am 19.05.2021 durch einen Gerichtsvollzieher des AG Nürnberg-Fürth mit dem Scheidungsantrag ihres Ehemannes vom 15.05.2021 zugestellt worden. Sie hat noch am Tag der Zustellung in der Kanzlei angerufen und um den frühestmöglichen Termin gebeten. Die Mandantin tritt gefasst auf, sie hatte mit dem Antrag gerechnet.</w:t>
      </w:r>
    </w:p>
    <w:p>
      <w:pPr>
        <w:pStyle w:val="Heading2"/>
      </w:pPr>
      <w:r>
        <w:rPr>
          <w:rFonts w:ascii="Times New Roman" w:hAnsi="Times New Roman"/>
        </w:rPr>
        <w:t>Persönliche Angaben</w:t>
      </w:r>
    </w:p>
    <w:p>
      <w:pPr>
        <w:pStyle w:val="ListBullet"/>
      </w:pPr>
      <w:r>
        <w:t>Leonie Schäfer, geb. Winterstein, geboren am 11.06.1961 in Nürnberg</w:t>
      </w:r>
    </w:p>
    <w:p>
      <w:pPr>
        <w:pStyle w:val="ListBullet"/>
      </w:pPr>
      <w:r>
        <w:t>Anschrift: Schweinauer Hauptstraße 144, 90441 Nürnberg</w:t>
      </w:r>
    </w:p>
    <w:p>
      <w:pPr>
        <w:pStyle w:val="ListBullet"/>
      </w:pPr>
      <w:r>
        <w:t>Telefon (mobil, nur SMS): 0171 / 4828719</w:t>
      </w:r>
    </w:p>
    <w:p>
      <w:pPr>
        <w:pStyle w:val="ListBullet"/>
      </w:pPr>
      <w:r>
        <w:t>E-Mail privat: leonie.schaefer1961@posteo.de</w:t>
      </w:r>
    </w:p>
    <w:p>
      <w:pPr>
        <w:pStyle w:val="ListBullet"/>
      </w:pPr>
      <w:r>
        <w:t>Beruf: Grundschullehrerin, derzeit Teilzeit 18 Wochenstunden, Beamtin auf Lebenszeit beim Freistaat Bayern, eingesetzt an der Grundschule Nürnberg-Schweinau</w:t>
      </w:r>
    </w:p>
    <w:p>
      <w:pPr>
        <w:pStyle w:val="ListBullet"/>
      </w:pPr>
      <w:r>
        <w:t>Steuerklasse: III (Splitting); ab Rechtskraft der Scheidung Wechsel in Steuerklasse I vorgesehen</w:t>
      </w:r>
    </w:p>
    <w:p>
      <w:pPr>
        <w:pStyle w:val="ListBullet"/>
      </w:pPr>
      <w:r>
        <w:t>Krankenversicherung: gesetzlich, AOK Bayern</w:t>
      </w:r>
    </w:p>
    <w:p>
      <w:pPr>
        <w:pStyle w:val="Heading2"/>
      </w:pPr>
      <w:r>
        <w:rPr>
          <w:rFonts w:ascii="Times New Roman" w:hAnsi="Times New Roman"/>
        </w:rPr>
        <w:t>Ehe- und Familiendaten</w:t>
      </w:r>
    </w:p>
    <w:p>
      <w:pPr>
        <w:pStyle w:val="ListBullet"/>
      </w:pPr>
      <w:r>
        <w:t>Eheschließung: 12.09.1987 vor dem Standesbeamten der Stadt Nürnberg, Heiratsregister-Nr. 1142/1987</w:t>
      </w:r>
    </w:p>
    <w:p>
      <w:pPr>
        <w:pStyle w:val="ListBullet"/>
      </w:pPr>
      <w:r>
        <w:t>Güterstand: gesetzlicher Güterstand der Zugewinngemeinschaft, kein Ehevertrag, keine notarielle Modifikation</w:t>
      </w:r>
    </w:p>
    <w:p>
      <w:pPr>
        <w:pStyle w:val="ListBullet"/>
      </w:pPr>
      <w:r>
        <w:t>Kinder: keine; die Mandantin und der Antragsteller blieben kinderlos, eine Adoption wurde mehrfach erwogen, aber wegen des Berufsalltags des Ehemanns nicht weiterverfolgt</w:t>
      </w:r>
    </w:p>
    <w:p>
      <w:pPr>
        <w:pStyle w:val="ListBullet"/>
      </w:pPr>
      <w:r>
        <w:t>Trennung: räumlich-innerhalb der Ehewohnung seit Sommer 2019; getrennte Schlafzimmer; getrennte Haushaltskasse seit dem 1.10.2020</w:t>
      </w:r>
    </w:p>
    <w:p>
      <w:pPr>
        <w:pStyle w:val="ListBullet"/>
      </w:pPr>
      <w:r>
        <w:t>Der Ehemann ist seit dem 02.04.2021 ausgezogen und wohnt in der Mietwohnung Schillerstraße 14, 91054 Erlangen, oberhalb seiner Zahnarztpraxis</w:t>
      </w:r>
    </w:p>
    <w:p>
      <w:pPr>
        <w:pStyle w:val="Heading2"/>
      </w:pPr>
      <w:r>
        <w:rPr>
          <w:rFonts w:ascii="Times New Roman" w:hAnsi="Times New Roman"/>
        </w:rPr>
        <w:t>Bisherige außergerichtliche Versuche</w:t>
      </w:r>
    </w:p>
    <w:p>
      <w:pPr>
        <w:jc w:val="left"/>
      </w:pPr>
      <w:r>
        <w:t>Die Mandantin berichtet:</w:t>
      </w:r>
    </w:p>
    <w:p>
      <w:pPr>
        <w:pStyle w:val="ListBullet"/>
      </w:pPr>
      <w:r>
        <w:t>Im November 2020 habe Maximilian sie zu einem „Klärungsgespräch" bei Notar Dr. Holger Wamsdörfer (Notariat Pirckheimerstraße 12, Nürnberg) gebeten. Dort sei über Zugewinn, Hausrat und Versorgungsausgleich gesprochen worden. Eine endgültige Vereinbarung sei nicht geschlossen worden.</w:t>
      </w:r>
    </w:p>
    <w:p>
      <w:pPr>
        <w:pStyle w:val="ListBullet"/>
      </w:pPr>
      <w:r>
        <w:t>Im März 2021 habe Maximilian sie mehrfach gebeten, „auf den Versorgungsausgleich zu verzichten, weil das doch wirtschaftlich an mir liegt". Sie habe gesagt, sie wolle das anwaltlich klären lassen.</w:t>
      </w:r>
    </w:p>
    <w:p>
      <w:pPr>
        <w:pStyle w:val="ListBullet"/>
      </w:pPr>
      <w:r>
        <w:t>Schriftlich liege ihr Anwaltsschreiben von RA Andreas Vorndran (Erlangen) vom 28.04.2021 vor, das einen weitgehenden Ausschluss des Versorgungsausgleichs anregt.</w:t>
      </w:r>
    </w:p>
    <w:p>
      <w:pPr>
        <w:pStyle w:val="Heading2"/>
      </w:pPr>
      <w:r>
        <w:rPr>
          <w:rFonts w:ascii="Times New Roman" w:hAnsi="Times New Roman"/>
        </w:rPr>
        <w:t>Vermögen, Erbe, Einkommen — Stand des Gesprächs</w:t>
      </w:r>
    </w:p>
    <w:p>
      <w:pPr>
        <w:jc w:val="left"/>
      </w:pPr>
      <w:r>
        <w:t xml:space="preserve">Die Mandantin berichtet, sie sei 2019 Alleinerbin nach ihrem am 14.03.2019 verstorbenen Onkel </w:t>
      </w:r>
      <w:r>
        <w:rPr>
          <w:b/>
        </w:rPr>
        <w:t>Theodor Winterstein</w:t>
      </w:r>
      <w:r>
        <w:t xml:space="preserve"> (kinderlos, Bauunternehmer aus Bamberg) geworden. Vorgelegt wird der Erbschein des AG Bamberg vom 02.09.2019, Az. VI 1138/19, sowie ein Verzeichnis der Nachlassgegenstände. Im Erbschaftssteuerbescheid des Finanzamts Bamberg vom 05.03.2020 (Steuer-Nr. 207/281/40918) sind die einzelnen Vermögenswerte mit Verkehrswerten zum Stichtag 14.03.2019 ausgewiesen. Zum heutigen Tag ergeben sich nach Auskunft der Mandantin folgende Werte: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Vermögenswert</w:t>
            </w:r>
          </w:p>
        </w:tc>
        <w:tc>
          <w:tcPr>
            <w:tcW w:type="dxa" w:w="3024"/>
          </w:tcPr>
          <w:p>
            <w:r>
              <w:rPr>
                <w:rFonts w:ascii="Times New Roman" w:hAnsi="Times New Roman"/>
                <w:b/>
                <w:sz w:val="20"/>
              </w:rPr>
              <w:t>Verkehrswert (heute)</w:t>
            </w:r>
          </w:p>
        </w:tc>
        <w:tc>
          <w:tcPr>
            <w:tcW w:type="dxa" w:w="3024"/>
          </w:tcPr>
          <w:p>
            <w:r>
              <w:rPr>
                <w:rFonts w:ascii="Times New Roman" w:hAnsi="Times New Roman"/>
                <w:b/>
                <w:sz w:val="20"/>
              </w:rPr>
              <w:t>Erträge p. M. / p. a.</w:t>
            </w:r>
          </w:p>
        </w:tc>
      </w:tr>
      <w:tr>
        <w:tc>
          <w:tcPr>
            <w:tcW w:type="dxa" w:w="3024"/>
          </w:tcPr>
          <w:p>
            <w:r>
              <w:rPr>
                <w:rFonts w:ascii="Times New Roman" w:hAnsi="Times New Roman"/>
                <w:sz w:val="20"/>
              </w:rPr>
              <w:t>Mehrfamilienhaus Bamberg, Promenadestraße 14 (12 Wohneinheiten)</w:t>
            </w:r>
          </w:p>
        </w:tc>
        <w:tc>
          <w:tcPr>
            <w:tcW w:type="dxa" w:w="3024"/>
          </w:tcPr>
          <w:p>
            <w:r>
              <w:rPr>
                <w:rFonts w:ascii="Times New Roman" w:hAnsi="Times New Roman"/>
                <w:sz w:val="20"/>
              </w:rPr>
              <w:t>2.800.000 €</w:t>
            </w:r>
          </w:p>
        </w:tc>
        <w:tc>
          <w:tcPr>
            <w:tcW w:type="dxa" w:w="3024"/>
          </w:tcPr>
          <w:p>
            <w:r>
              <w:rPr>
                <w:rFonts w:ascii="Times New Roman" w:hAnsi="Times New Roman"/>
                <w:sz w:val="20"/>
              </w:rPr>
              <w:t>12.000 € / Monat (brutto Miete)</w:t>
            </w:r>
          </w:p>
        </w:tc>
      </w:tr>
      <w:tr>
        <w:tc>
          <w:tcPr>
            <w:tcW w:type="dxa" w:w="3024"/>
          </w:tcPr>
          <w:p>
            <w:r>
              <w:rPr>
                <w:rFonts w:ascii="Times New Roman" w:hAnsi="Times New Roman"/>
                <w:sz w:val="20"/>
              </w:rPr>
              <w:t>Gewerbeimmobilie Forchheim, Bayreuther Straße 88 (Lager + Büro, vermietet an Logistik)</w:t>
            </w:r>
          </w:p>
        </w:tc>
        <w:tc>
          <w:tcPr>
            <w:tcW w:type="dxa" w:w="3024"/>
          </w:tcPr>
          <w:p>
            <w:r>
              <w:rPr>
                <w:rFonts w:ascii="Times New Roman" w:hAnsi="Times New Roman"/>
                <w:sz w:val="20"/>
              </w:rPr>
              <w:t>1.500.000 €</w:t>
            </w:r>
          </w:p>
        </w:tc>
        <w:tc>
          <w:tcPr>
            <w:tcW w:type="dxa" w:w="3024"/>
          </w:tcPr>
          <w:p>
            <w:r>
              <w:rPr>
                <w:rFonts w:ascii="Times New Roman" w:hAnsi="Times New Roman"/>
                <w:sz w:val="20"/>
              </w:rPr>
              <w:t>8.500 € / Monat</w:t>
            </w:r>
          </w:p>
        </w:tc>
      </w:tr>
      <w:tr>
        <w:tc>
          <w:tcPr>
            <w:tcW w:type="dxa" w:w="3024"/>
          </w:tcPr>
          <w:p>
            <w:r>
              <w:rPr>
                <w:rFonts w:ascii="Times New Roman" w:hAnsi="Times New Roman"/>
                <w:sz w:val="20"/>
              </w:rPr>
              <w:t>Eigentumswohnung München-Schwabing, Hohenzollernstraße 47, 4. OG, 96 qm</w:t>
            </w:r>
          </w:p>
        </w:tc>
        <w:tc>
          <w:tcPr>
            <w:tcW w:type="dxa" w:w="3024"/>
          </w:tcPr>
          <w:p>
            <w:r>
              <w:rPr>
                <w:rFonts w:ascii="Times New Roman" w:hAnsi="Times New Roman"/>
                <w:sz w:val="20"/>
              </w:rPr>
              <w:t>950.000 €</w:t>
            </w:r>
          </w:p>
        </w:tc>
        <w:tc>
          <w:tcPr>
            <w:tcW w:type="dxa" w:w="3024"/>
          </w:tcPr>
          <w:p>
            <w:r>
              <w:rPr>
                <w:rFonts w:ascii="Times New Roman" w:hAnsi="Times New Roman"/>
                <w:sz w:val="20"/>
              </w:rPr>
              <w:t>2.800 € / Monat</w:t>
            </w:r>
          </w:p>
        </w:tc>
      </w:tr>
      <w:tr>
        <w:tc>
          <w:tcPr>
            <w:tcW w:type="dxa" w:w="3024"/>
          </w:tcPr>
          <w:p>
            <w:r>
              <w:rPr>
                <w:rFonts w:ascii="Times New Roman" w:hAnsi="Times New Roman"/>
                <w:sz w:val="20"/>
              </w:rPr>
              <w:t>Wertpapierdepot DZ Privatbank, Depot-Nr. 4119 002 71</w:t>
            </w:r>
          </w:p>
        </w:tc>
        <w:tc>
          <w:tcPr>
            <w:tcW w:type="dxa" w:w="3024"/>
          </w:tcPr>
          <w:p>
            <w:r>
              <w:rPr>
                <w:rFonts w:ascii="Times New Roman" w:hAnsi="Times New Roman"/>
                <w:sz w:val="20"/>
              </w:rPr>
              <w:t>1.200.000 €</w:t>
            </w:r>
          </w:p>
        </w:tc>
        <w:tc>
          <w:tcPr>
            <w:tcW w:type="dxa" w:w="3024"/>
          </w:tcPr>
          <w:p>
            <w:r>
              <w:rPr>
                <w:rFonts w:ascii="Times New Roman" w:hAnsi="Times New Roman"/>
                <w:sz w:val="20"/>
              </w:rPr>
              <w:t>Dividenden ca. 48.000 € p. a.</w:t>
            </w:r>
          </w:p>
        </w:tc>
      </w:tr>
      <w:tr>
        <w:tc>
          <w:tcPr>
            <w:tcW w:type="dxa" w:w="3024"/>
          </w:tcPr>
          <w:p>
            <w:r>
              <w:rPr>
                <w:rFonts w:ascii="Times New Roman" w:hAnsi="Times New Roman"/>
                <w:sz w:val="20"/>
              </w:rPr>
              <w:t>Festgeldkonten Sparkasse Bamberg</w:t>
            </w:r>
          </w:p>
        </w:tc>
        <w:tc>
          <w:tcPr>
            <w:tcW w:type="dxa" w:w="3024"/>
          </w:tcPr>
          <w:p>
            <w:r>
              <w:rPr>
                <w:rFonts w:ascii="Times New Roman" w:hAnsi="Times New Roman"/>
                <w:sz w:val="20"/>
              </w:rPr>
              <w:t>450.000 €</w:t>
            </w:r>
          </w:p>
        </w:tc>
        <w:tc>
          <w:tcPr>
            <w:tcW w:type="dxa" w:w="3024"/>
          </w:tcPr>
          <w:p>
            <w:r>
              <w:rPr>
                <w:rFonts w:ascii="Times New Roman" w:hAnsi="Times New Roman"/>
                <w:sz w:val="20"/>
              </w:rPr>
              <w:t>ca. 12.000 € p. a. (variabel)</w:t>
            </w:r>
          </w:p>
        </w:tc>
      </w:tr>
      <w:tr>
        <w:tc>
          <w:tcPr>
            <w:tcW w:type="dxa" w:w="3024"/>
          </w:tcPr>
          <w:p>
            <w:r>
              <w:rPr>
                <w:rFonts w:ascii="Times New Roman" w:hAnsi="Times New Roman"/>
                <w:b/>
                <w:sz w:val="20"/>
              </w:rPr>
              <w:t>Gesamt</w:t>
            </w:r>
          </w:p>
        </w:tc>
        <w:tc>
          <w:tcPr>
            <w:tcW w:type="dxa" w:w="3024"/>
          </w:tcPr>
          <w:p>
            <w:r>
              <w:rPr>
                <w:rFonts w:ascii="Times New Roman" w:hAnsi="Times New Roman"/>
                <w:b/>
                <w:sz w:val="20"/>
              </w:rPr>
              <w:t>6.900.000 €</w:t>
            </w:r>
          </w:p>
        </w:tc>
        <w:tc>
          <w:tcPr>
            <w:tcW w:type="dxa" w:w="3024"/>
          </w:tcPr>
          <w:p/>
        </w:tc>
      </w:tr>
    </w:tbl>
    <w:p>
      <w:pPr>
        <w:jc w:val="left"/>
      </w:pPr>
      <w:r>
        <w:t>Zur Klarstellung: das gesamte Vermögen stammt aus der Erbschaft 2019. Eigene Ersparnisse aus dem Lehrerinnengehalt: ca. 26.000 € auf dem Girokonto Sparkasse Nürnberg.</w:t>
      </w:r>
    </w:p>
    <w:p>
      <w:pPr>
        <w:jc w:val="left"/>
      </w:pPr>
      <w:r>
        <w:t>Eigenes Bruttogehalt der Mandantin (Besoldungsgruppe A 12 Bayern, Stufe 11, Teilzeit 18/28 Stunden): 2.945,42 € brutto im Monat (vorgelegt: Bezügemitteilung Landesamt für Finanzen April 2021).</w:t>
      </w:r>
    </w:p>
    <w:p>
      <w:pPr>
        <w:pStyle w:val="Heading2"/>
      </w:pPr>
      <w:r>
        <w:rPr>
          <w:rFonts w:ascii="Times New Roman" w:hAnsi="Times New Roman"/>
        </w:rPr>
        <w:t>Versorgungsanrechte — Selbstangabe der Mandantin</w:t>
      </w:r>
    </w:p>
    <w:p>
      <w:pPr>
        <w:pStyle w:val="ListBullet"/>
      </w:pPr>
      <w:r>
        <w:t>Beamtenversorgung Freistaat Bayern: Aktuell 28 Jahre, 5 Monate, 12 Tage anerkannte Dienstzeit; Auskunft des Landesamts für Finanzen (Dienststelle Versorgung) ist beantragt.</w:t>
      </w:r>
    </w:p>
    <w:p>
      <w:pPr>
        <w:pStyle w:val="ListBullet"/>
      </w:pPr>
      <w:r>
        <w:t>Aus früherer Tätigkeit (1980 – 1992) in der gesetzlichen Rentenversicherung Bund: 12,5 Entgeltpunkte (Rentenkonto-Auskunft vom 30.01.2021 vorgelegt).</w:t>
      </w:r>
    </w:p>
    <w:p>
      <w:pPr>
        <w:pStyle w:val="ListBullet"/>
      </w:pPr>
      <w:r>
        <w:t>Riester, Rürup, betriebliche Altersvorsorge, private Lebensversicherung: nicht vorhanden.</w:t>
      </w:r>
    </w:p>
    <w:p>
      <w:pPr>
        <w:pStyle w:val="Heading2"/>
      </w:pPr>
      <w:r>
        <w:rPr>
          <w:rFonts w:ascii="Times New Roman" w:hAnsi="Times New Roman"/>
        </w:rPr>
        <w:t>Angaben zum Ehemann</w:t>
      </w:r>
    </w:p>
    <w:p>
      <w:pPr>
        <w:pStyle w:val="ListBullet"/>
      </w:pPr>
      <w:r>
        <w:t>Dr. med. dent. Maximilian Schäfer, Jahrgang 1958, niedergelassener Zahnarzt in Erlangen, eigene Praxis (Einzelpraxis) seit 1992</w:t>
      </w:r>
    </w:p>
    <w:p>
      <w:pPr>
        <w:pStyle w:val="ListBullet"/>
      </w:pPr>
      <w:r>
        <w:t>Selbstangabe nach Aussage des Mannes: monatlicher Netto-Entnahmewert ca. 4.500 €; Praxiswert ca. 120.000 € (würde bei Aufgabe erzielt); Kapitallebensversicherung Allianz mit Rückkaufswert ca. 85.000 €; Aktiendepot ca. 35.000 €; Praxiskredit Hausbank Sparkasse Erlangen restvaluta ca. 45.000 €</w:t>
      </w:r>
    </w:p>
    <w:p>
      <w:pPr>
        <w:pStyle w:val="ListBullet"/>
      </w:pPr>
      <w:r>
        <w:t>Versorgungsanrechte (laut Anwaltsschreiben vom 28.04.2021): Bayerische Versorgungskammer (Zahnärzteversorgung), Allianz-Riester, betriebliche Direktversicherung</w:t>
      </w:r>
    </w:p>
    <w:p>
      <w:pPr>
        <w:pStyle w:val="ListBullet"/>
      </w:pPr>
      <w:r>
        <w:t>Gesundheitliche Situation: chronisches lumbales Wirbelsäulenleiden; ausweislich Attest Dr. Reisinger (Orthopäde Erlangen, Attest vom 02.04.2021) Arbeitszeitreduzierung auf 30 Wochenstunden indiziert</w:t>
      </w:r>
    </w:p>
    <w:p>
      <w:pPr>
        <w:pStyle w:val="Heading2"/>
      </w:pPr>
      <w:r>
        <w:rPr>
          <w:rFonts w:ascii="Times New Roman" w:hAnsi="Times New Roman"/>
        </w:rPr>
        <w:t>Zielvereinbarung der Mandantin</w:t>
      </w:r>
    </w:p>
    <w:p>
      <w:pPr>
        <w:pStyle w:val="ListNumber"/>
      </w:pPr>
      <w:r>
        <w:t>Geordnete und faire Durchführung des Versorgungsausgleichs nach Maßgabe des VersAusglG.</w:t>
      </w:r>
    </w:p>
    <w:p>
      <w:pPr>
        <w:pStyle w:val="ListNumber"/>
      </w:pPr>
      <w:r>
        <w:t>Keine pauschale Verzichtsvereinbarung „weil ich genug Vermögen habe"; die Mandantin sieht in den Anrechten ihren persönlich erarbeiteten Anspruch.</w:t>
      </w:r>
    </w:p>
    <w:p>
      <w:pPr>
        <w:pStyle w:val="ListNumber"/>
      </w:pPr>
      <w:r>
        <w:t>Bereitschaft zur fairen Regelung des Zugewinns auch unter Berücksichtigung des Praxisaufbaus des Ehemanns während der Ehe.</w:t>
      </w:r>
    </w:p>
    <w:p>
      <w:pPr>
        <w:pStyle w:val="ListNumber"/>
      </w:pPr>
      <w:r>
        <w:t>Vermeidung jeder öffentlich-skandalisierten Auseinandersetzung; alle Korrespondenz über Anwälte; persönliche Telefonate untersagt.</w:t>
      </w:r>
    </w:p>
    <w:p>
      <w:pPr>
        <w:pStyle w:val="Heading2"/>
      </w:pPr>
      <w:r>
        <w:rPr>
          <w:rFonts w:ascii="Times New Roman" w:hAnsi="Times New Roman"/>
        </w:rPr>
        <w:t>Mandatsbeschluss</w:t>
      </w:r>
    </w:p>
    <w:p>
      <w:pPr>
        <w:jc w:val="left"/>
      </w:pPr>
      <w:r>
        <w:t>Beauftragung der Kanzlei Söll Rödelsteiner &amp; Partner mbB als Verfahrensbevollmächtigte im Verfahren AG Nürnberg-Fürth, Az. 110 F 2418/21, sowie für die Folgesachen Zugewinn und Versorgungsausgleich.</w:t>
      </w:r>
    </w:p>
    <w:p>
      <w:pPr>
        <w:jc w:val="left"/>
      </w:pPr>
      <w:r>
        <w:t>Honorarvereinbarung nach RVG, Geschäftsgebühr Nr. 2300 VV RVG; gesondert: Verfahrensgebühr 3100 VV RVG, Termingebühr 3104 VV RVG. Eine Vorschussforderung in Höhe von 3.500 € (brutto) wird mit Rechnung 0918-2021/01 verlangt.</w:t>
      </w:r>
    </w:p>
    <w:p>
      <w:pPr>
        <w:pStyle w:val="Heading2"/>
      </w:pPr>
      <w:r>
        <w:rPr>
          <w:rFonts w:ascii="Times New Roman" w:hAnsi="Times New Roman"/>
        </w:rPr>
        <w:t>Nächste Schritte</w:t>
      </w:r>
    </w:p>
    <w:p>
      <w:pPr>
        <w:pStyle w:val="ListBullet"/>
      </w:pPr>
      <w:r>
        <w:t>Vollmacht unterzeichnen und scannen</w:t>
      </w:r>
    </w:p>
    <w:p>
      <w:pPr>
        <w:pStyle w:val="ListBullet"/>
      </w:pPr>
      <w:r>
        <w:t>Beiakte VA: Anschreiben an alle Versorgungsträger (V-Auskunft)</w:t>
      </w:r>
    </w:p>
    <w:p>
      <w:pPr>
        <w:pStyle w:val="ListBullet"/>
      </w:pPr>
      <w:r>
        <w:t>Beantragung Auskunft Bayerische Versorgungskammer / Allianz / DRV Bund / Landesamt für Finanzen Bayern</w:t>
      </w:r>
    </w:p>
    <w:p>
      <w:pPr>
        <w:pStyle w:val="ListBullet"/>
      </w:pPr>
      <w:r>
        <w:t>Kontakt zu RA Vorndran (Gegenseite): Schutzschriftliche Mitteilung Akteneinsicht und Bitte um Aussetzung weiterer Bevollmächtigungs-/Vereinbarungsversuche bis Vorlage der Versorgungsträger-Auskünfte</w:t>
      </w:r>
    </w:p>
    <w:p>
      <w:pPr>
        <w:pStyle w:val="ListBullet"/>
      </w:pPr>
      <w:r>
        <w:t>Notiz an Mandantenakte: Vorndrans Schreiben vom 28.04.2021 ist als außergerichtliche Verzichtsanregung zu werten, nicht als bindender Vergleich</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Kanzlei Söll Rödelsteiner &amp;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KANZLEI SÖLL RÖDELSTEINER &amp; PARTNER MBB</w:t>
    </w:r>
  </w:p>
  <w:p>
    <w:pPr>
      <w:jc w:val="left"/>
      <w:pBdr>
        <w:bottom w:val="single" w:sz="8" w:space="2" w:color="7B2D3B"/>
      </w:pBdr>
    </w:pPr>
    <w:r>
      <w:rPr>
        <w:rFonts w:ascii="Times New Roman" w:hAnsi="Times New Roman"/>
        <w:color w:val="6B6B66"/>
        <w:sz w:val="16"/>
      </w:rPr>
      <w:t>Karolinenstraße 27, 90402 Nürnberg · Aktenzeichen: 0918-2021/VA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