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Verfahrensgang Amtsgericht Nürnberg-Fürth</w:t>
      </w:r>
    </w:p>
    <w:p>
      <w:pPr>
        <w:jc w:val="left"/>
      </w:pPr>
      <w:r>
        <w:rPr>
          <w:b/>
        </w:rPr>
        <w:t>Aktenzeichen:</w:t>
      </w:r>
      <w:r>
        <w:t xml:space="preserve"> 110 F 2418/21</w:t>
      </w:r>
    </w:p>
    <w:p>
      <w:pPr>
        <w:jc w:val="left"/>
      </w:pPr>
      <w:r>
        <w:rPr>
          <w:b/>
        </w:rPr>
        <w:t>Antragsteller:</w:t>
      </w:r>
      <w:r>
        <w:t xml:space="preserve"> Dr. med. dent. Maximilian Schäfer</w:t>
      </w:r>
    </w:p>
    <w:p>
      <w:pPr>
        <w:jc w:val="left"/>
      </w:pPr>
      <w:r>
        <w:rPr>
          <w:b/>
        </w:rPr>
        <w:t>Antragsgegnerin:</w:t>
      </w:r>
      <w:r>
        <w:t xml:space="preserve"> Leonie Schäfer</w:t>
      </w:r>
    </w:p>
    <w:p>
      <w:pPr>
        <w:jc w:val="left"/>
      </w:pPr>
      <w:r>
        <w:rPr>
          <w:b/>
        </w:rPr>
        <w:t>Verfahrensgegenstand:</w:t>
      </w:r>
      <w:r>
        <w:t xml:space="preserve"> Scheidung, Folgesache Versorgungsausgleich (von Amts wegen, Paragraf 137 Abs. 2 Satz 1 Nr. 1 FamFG)</w:t>
      </w:r>
    </w:p>
    <w:p>
      <w:pPr>
        <w:jc w:val="left"/>
      </w:pPr>
      <w:r>
        <w:rPr>
          <w:b/>
        </w:rPr>
        <w:t>Richter:</w:t>
      </w:r>
      <w:r>
        <w:t xml:space="preserve"> Familienrichter Dr. Peter Hörmannseder, Familienabteilung Saal 138</w:t>
      </w:r>
    </w:p>
    <w:p>
      <w:pPr>
        <w:pStyle w:val="Heading2"/>
      </w:pPr>
      <w:r>
        <w:rPr>
          <w:rFonts w:ascii="Times New Roman" w:hAnsi="Times New Roman"/>
        </w:rPr>
        <w:t>Wesentlicher Verfahrensablauf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15.05.2021</w:t>
            </w:r>
          </w:p>
        </w:tc>
        <w:tc>
          <w:tcPr>
            <w:tcW w:type="dxa" w:w="4536"/>
          </w:tcPr>
          <w:p>
            <w:r>
              <w:rPr>
                <w:rFonts w:ascii="Times New Roman" w:hAnsi="Times New Roman"/>
                <w:sz w:val="20"/>
              </w:rPr>
              <w:t>Eingang Scheidungsantrag (RA Vorndran für Antragsteller)</w:t>
            </w:r>
          </w:p>
        </w:tc>
      </w:tr>
      <w:tr>
        <w:tc>
          <w:tcPr>
            <w:tcW w:type="dxa" w:w="4536"/>
          </w:tcPr>
          <w:p>
            <w:r>
              <w:rPr>
                <w:rFonts w:ascii="Times New Roman" w:hAnsi="Times New Roman"/>
                <w:sz w:val="20"/>
              </w:rPr>
              <w:t>19.05.2021</w:t>
            </w:r>
          </w:p>
        </w:tc>
        <w:tc>
          <w:tcPr>
            <w:tcW w:type="dxa" w:w="4536"/>
          </w:tcPr>
          <w:p>
            <w:r>
              <w:rPr>
                <w:rFonts w:ascii="Times New Roman" w:hAnsi="Times New Roman"/>
                <w:sz w:val="20"/>
              </w:rPr>
              <w:t>Zustellung an die Antragsgegnerin</w:t>
            </w:r>
          </w:p>
        </w:tc>
      </w:tr>
      <w:tr>
        <w:tc>
          <w:tcPr>
            <w:tcW w:type="dxa" w:w="4536"/>
          </w:tcPr>
          <w:p>
            <w:r>
              <w:rPr>
                <w:rFonts w:ascii="Times New Roman" w:hAnsi="Times New Roman"/>
                <w:sz w:val="20"/>
              </w:rPr>
              <w:t>26.05.2021</w:t>
            </w:r>
          </w:p>
        </w:tc>
        <w:tc>
          <w:tcPr>
            <w:tcW w:type="dxa" w:w="4536"/>
          </w:tcPr>
          <w:p>
            <w:r>
              <w:rPr>
                <w:rFonts w:ascii="Times New Roman" w:hAnsi="Times New Roman"/>
                <w:sz w:val="20"/>
              </w:rPr>
              <w:t>Bestellung der Verfahrensbevollmächtigten (RAin Söll-Rödelsteiner) und Antrag auf Versorgungsausgleich</w:t>
            </w:r>
          </w:p>
        </w:tc>
      </w:tr>
      <w:tr>
        <w:tc>
          <w:tcPr>
            <w:tcW w:type="dxa" w:w="4536"/>
          </w:tcPr>
          <w:p>
            <w:r>
              <w:rPr>
                <w:rFonts w:ascii="Times New Roman" w:hAnsi="Times New Roman"/>
                <w:sz w:val="20"/>
              </w:rPr>
              <w:t>02.06.2021</w:t>
            </w:r>
          </w:p>
        </w:tc>
        <w:tc>
          <w:tcPr>
            <w:tcW w:type="dxa" w:w="4536"/>
          </w:tcPr>
          <w:p>
            <w:r>
              <w:rPr>
                <w:rFonts w:ascii="Times New Roman" w:hAnsi="Times New Roman"/>
                <w:sz w:val="20"/>
              </w:rPr>
              <w:t>Verfügung des Gerichts: Anschreiben sämtlicher Versorgungsträger zur Erteilung der V-Auskünfte</w:t>
            </w:r>
          </w:p>
        </w:tc>
      </w:tr>
      <w:tr>
        <w:tc>
          <w:tcPr>
            <w:tcW w:type="dxa" w:w="4536"/>
          </w:tcPr>
          <w:p>
            <w:r>
              <w:rPr>
                <w:rFonts w:ascii="Times New Roman" w:hAnsi="Times New Roman"/>
                <w:sz w:val="20"/>
              </w:rPr>
              <w:t>17.08.2021</w:t>
            </w:r>
          </w:p>
        </w:tc>
        <w:tc>
          <w:tcPr>
            <w:tcW w:type="dxa" w:w="4536"/>
          </w:tcPr>
          <w:p>
            <w:r>
              <w:rPr>
                <w:rFonts w:ascii="Times New Roman" w:hAnsi="Times New Roman"/>
                <w:sz w:val="20"/>
              </w:rPr>
              <w:t>Eingang BVZ-Auskunft (Ehemann)</w:t>
            </w:r>
          </w:p>
        </w:tc>
      </w:tr>
      <w:tr>
        <w:tc>
          <w:tcPr>
            <w:tcW w:type="dxa" w:w="4536"/>
          </w:tcPr>
          <w:p>
            <w:r>
              <w:rPr>
                <w:rFonts w:ascii="Times New Roman" w:hAnsi="Times New Roman"/>
                <w:sz w:val="20"/>
              </w:rPr>
              <w:t>22.09.2021</w:t>
            </w:r>
          </w:p>
        </w:tc>
        <w:tc>
          <w:tcPr>
            <w:tcW w:type="dxa" w:w="4536"/>
          </w:tcPr>
          <w:p>
            <w:r>
              <w:rPr>
                <w:rFonts w:ascii="Times New Roman" w:hAnsi="Times New Roman"/>
                <w:sz w:val="20"/>
              </w:rPr>
              <w:t>Eingang Auskunft Landesamt für Finanzen Bayern (Ehefrau)</w:t>
            </w:r>
          </w:p>
        </w:tc>
      </w:tr>
      <w:tr>
        <w:tc>
          <w:tcPr>
            <w:tcW w:type="dxa" w:w="4536"/>
          </w:tcPr>
          <w:p>
            <w:r>
              <w:rPr>
                <w:rFonts w:ascii="Times New Roman" w:hAnsi="Times New Roman"/>
                <w:sz w:val="20"/>
              </w:rPr>
              <w:t>02.08.2021</w:t>
            </w:r>
          </w:p>
        </w:tc>
        <w:tc>
          <w:tcPr>
            <w:tcW w:type="dxa" w:w="4536"/>
          </w:tcPr>
          <w:p>
            <w:r>
              <w:rPr>
                <w:rFonts w:ascii="Times New Roman" w:hAnsi="Times New Roman"/>
                <w:sz w:val="20"/>
              </w:rPr>
              <w:t>Eingang Auskunft Württembergische (Ehemann Direktversicherung)</w:t>
            </w:r>
          </w:p>
        </w:tc>
      </w:tr>
      <w:tr>
        <w:tc>
          <w:tcPr>
            <w:tcW w:type="dxa" w:w="4536"/>
          </w:tcPr>
          <w:p>
            <w:r>
              <w:rPr>
                <w:rFonts w:ascii="Times New Roman" w:hAnsi="Times New Roman"/>
                <w:sz w:val="20"/>
              </w:rPr>
              <w:t>19.07.2021</w:t>
            </w:r>
          </w:p>
        </w:tc>
        <w:tc>
          <w:tcPr>
            <w:tcW w:type="dxa" w:w="4536"/>
          </w:tcPr>
          <w:p>
            <w:r>
              <w:rPr>
                <w:rFonts w:ascii="Times New Roman" w:hAnsi="Times New Roman"/>
                <w:sz w:val="20"/>
              </w:rPr>
              <w:t>Eingang Auskunft Allianz (Ehemann Riester)</w:t>
            </w:r>
          </w:p>
        </w:tc>
      </w:tr>
      <w:tr>
        <w:tc>
          <w:tcPr>
            <w:tcW w:type="dxa" w:w="4536"/>
          </w:tcPr>
          <w:p>
            <w:r>
              <w:rPr>
                <w:rFonts w:ascii="Times New Roman" w:hAnsi="Times New Roman"/>
                <w:sz w:val="20"/>
              </w:rPr>
              <w:t>14.07.2021</w:t>
            </w:r>
          </w:p>
        </w:tc>
        <w:tc>
          <w:tcPr>
            <w:tcW w:type="dxa" w:w="4536"/>
          </w:tcPr>
          <w:p>
            <w:r>
              <w:rPr>
                <w:rFonts w:ascii="Times New Roman" w:hAnsi="Times New Roman"/>
                <w:sz w:val="20"/>
              </w:rPr>
              <w:t>Eingang Auskunft DRV Bund (Ehefrau)</w:t>
            </w:r>
          </w:p>
        </w:tc>
      </w:tr>
      <w:tr>
        <w:tc>
          <w:tcPr>
            <w:tcW w:type="dxa" w:w="4536"/>
          </w:tcPr>
          <w:p>
            <w:r>
              <w:rPr>
                <w:rFonts w:ascii="Times New Roman" w:hAnsi="Times New Roman"/>
                <w:sz w:val="20"/>
              </w:rPr>
              <w:t>11.11.2021</w:t>
            </w:r>
          </w:p>
        </w:tc>
        <w:tc>
          <w:tcPr>
            <w:tcW w:type="dxa" w:w="4536"/>
          </w:tcPr>
          <w:p>
            <w:r>
              <w:rPr>
                <w:rFonts w:ascii="Times New Roman" w:hAnsi="Times New Roman"/>
                <w:sz w:val="20"/>
              </w:rPr>
              <w:t>Notarielle Vereinbarung Zugewinn (separat, außergerichtlich)</w:t>
            </w:r>
          </w:p>
        </w:tc>
      </w:tr>
      <w:tr>
        <w:tc>
          <w:tcPr>
            <w:tcW w:type="dxa" w:w="4536"/>
          </w:tcPr>
          <w:p>
            <w:r>
              <w:rPr>
                <w:rFonts w:ascii="Times New Roman" w:hAnsi="Times New Roman"/>
                <w:sz w:val="20"/>
              </w:rPr>
              <w:t>25.11.2021</w:t>
            </w:r>
          </w:p>
        </w:tc>
        <w:tc>
          <w:tcPr>
            <w:tcW w:type="dxa" w:w="4536"/>
          </w:tcPr>
          <w:p>
            <w:r>
              <w:rPr>
                <w:rFonts w:ascii="Times New Roman" w:hAnsi="Times New Roman"/>
                <w:sz w:val="20"/>
              </w:rPr>
              <w:t>Schriftsatz Antragsteller mit Härteeinwand Paragraf 27 VersAusglG</w:t>
            </w:r>
          </w:p>
        </w:tc>
      </w:tr>
      <w:tr>
        <w:tc>
          <w:tcPr>
            <w:tcW w:type="dxa" w:w="4536"/>
          </w:tcPr>
          <w:p>
            <w:r>
              <w:rPr>
                <w:rFonts w:ascii="Times New Roman" w:hAnsi="Times New Roman"/>
                <w:sz w:val="20"/>
              </w:rPr>
              <w:t>08.12.2021</w:t>
            </w:r>
          </w:p>
        </w:tc>
        <w:tc>
          <w:tcPr>
            <w:tcW w:type="dxa" w:w="4536"/>
          </w:tcPr>
          <w:p>
            <w:r>
              <w:rPr>
                <w:rFonts w:ascii="Times New Roman" w:hAnsi="Times New Roman"/>
                <w:sz w:val="20"/>
              </w:rPr>
              <w:t>Erwiderung Antragsgegnerin (Söll-Rödelsteiner): Antrag auf vollständige Durchführung des Versorgungsausgleichs</w:t>
            </w:r>
          </w:p>
        </w:tc>
      </w:tr>
      <w:tr>
        <w:tc>
          <w:tcPr>
            <w:tcW w:type="dxa" w:w="4536"/>
          </w:tcPr>
          <w:p>
            <w:r>
              <w:rPr>
                <w:rFonts w:ascii="Times New Roman" w:hAnsi="Times New Roman"/>
                <w:sz w:val="20"/>
              </w:rPr>
              <w:t>12.01.2022</w:t>
            </w:r>
          </w:p>
        </w:tc>
        <w:tc>
          <w:tcPr>
            <w:tcW w:type="dxa" w:w="4536"/>
          </w:tcPr>
          <w:p>
            <w:r>
              <w:rPr>
                <w:rFonts w:ascii="Times New Roman" w:hAnsi="Times New Roman"/>
                <w:sz w:val="20"/>
              </w:rPr>
              <w:t>Mündliche Verhandlung</w:t>
            </w:r>
          </w:p>
        </w:tc>
      </w:tr>
      <w:tr>
        <w:tc>
          <w:tcPr>
            <w:tcW w:type="dxa" w:w="4536"/>
          </w:tcPr>
          <w:p>
            <w:r>
              <w:rPr>
                <w:rFonts w:ascii="Times New Roman" w:hAnsi="Times New Roman"/>
                <w:sz w:val="20"/>
              </w:rPr>
              <w:t>28.02.2022</w:t>
            </w:r>
          </w:p>
        </w:tc>
        <w:tc>
          <w:tcPr>
            <w:tcW w:type="dxa" w:w="4536"/>
          </w:tcPr>
          <w:p>
            <w:r>
              <w:rPr>
                <w:rFonts w:ascii="Times New Roman" w:hAnsi="Times New Roman"/>
                <w:sz w:val="20"/>
              </w:rPr>
              <w:t>Endbeschluss: Scheidung ausgesprochen; Versorgungsausgleich durch interne / externe Teilung in der vorgeschlagenen Höhe der Versorgungsträger durchgeführt</w:t>
            </w:r>
          </w:p>
        </w:tc>
      </w:tr>
    </w:tbl>
    <w:p>
      <w:pPr>
        <w:pStyle w:val="Heading2"/>
      </w:pPr>
      <w:r>
        <w:rPr>
          <w:rFonts w:ascii="Times New Roman" w:hAnsi="Times New Roman"/>
        </w:rPr>
        <w:t xml:space="preserve">Tenor des Beschlusses vom 28.02.2022 (Auszug, vollständig in </w:t>
      </w:r>
      <w:r>
        <w:rPr>
          <w:rFonts w:ascii="Times New Roman" w:hAnsi="Times New Roman"/>
        </w:rPr>
        <w:t>docx/AG_Nürnberg_Fürth_Beschluss_28_02_2022.docx</w:t>
      </w:r>
      <w:r>
        <w:rPr>
          <w:rFonts w:ascii="Times New Roman" w:hAnsi="Times New Roman"/>
        </w:rPr>
        <w:t>)</w:t>
      </w:r>
    </w:p>
    <w:p>
      <w:pPr>
        <w:ind w:left="567"/>
      </w:pPr>
      <w:r>
        <w:rPr>
          <w:i/>
        </w:rPr>
        <w:t>Im Namen des Volkes</w:t>
      </w:r>
    </w:p>
    <w:p>
      <w:pPr>
        <w:ind w:left="567"/>
      </w:pPr>
    </w:p>
    <w:p>
      <w:pPr>
        <w:ind w:left="567"/>
      </w:pPr>
      <w:r>
        <w:rPr>
          <w:i/>
        </w:rPr>
        <w:t>In der Familiensache Schäfer ./. Schäfer …</w:t>
      </w:r>
    </w:p>
    <w:p>
      <w:pPr>
        <w:ind w:left="567"/>
      </w:pPr>
    </w:p>
    <w:p>
      <w:pPr>
        <w:ind w:left="567"/>
      </w:pPr>
      <w:r>
        <w:rPr>
          <w:i/>
        </w:rPr>
        <w:t>beschließt das Amtsgericht – Familiengericht – Nürnberg-Fürth durch den Richter am Amtsgericht Dr. Hörmannseder am 28.02.2022:</w:t>
      </w:r>
    </w:p>
    <w:p>
      <w:pPr>
        <w:ind w:left="567"/>
      </w:pPr>
    </w:p>
    <w:p>
      <w:pPr>
        <w:ind w:left="567"/>
      </w:pPr>
      <w:r>
        <w:rPr>
          <w:i/>
        </w:rPr>
        <w:t>1. Die am 12.09.1987 vor dem Standesbeamten der Stadt Nürnberg geschlossene Ehe der Beteiligten wird geschieden.</w:t>
      </w:r>
    </w:p>
    <w:p>
      <w:pPr>
        <w:ind w:left="567"/>
      </w:pPr>
    </w:p>
    <w:p>
      <w:pPr>
        <w:ind w:left="567"/>
      </w:pPr>
      <w:r>
        <w:rPr>
          <w:i/>
        </w:rPr>
        <w:t>2. Im Wege der internen Teilung wird zulasten des bei der Bayerischen Versorgungskammer – Bayerische Ärzteversorgung, Abteilung Zahnärzteversorgung – bestehenden Anrechts des Antragstellers zugunsten der Antragsgegnerin ein Anrecht in Höhe von monatlich 2.063,71 €, bezogen auf den 30.04.2021, übertragen.</w:t>
      </w:r>
    </w:p>
    <w:p>
      <w:pPr>
        <w:ind w:left="567"/>
      </w:pPr>
    </w:p>
    <w:p>
      <w:pPr>
        <w:ind w:left="567"/>
      </w:pPr>
      <w:r>
        <w:rPr>
          <w:i/>
        </w:rPr>
        <w:t>3. Im Wege der externen Teilung wird zulasten des bei der Allianz Lebensversicherungs-AG, Vertrag RV-1141-7782-A, bestehenden Anrechts des Antragstellers zugunsten der Antragsgegnerin ein Kapitalbetrag in Höhe von 9.250,00 €, bezogen auf den 30.04.2021, übertragen; die Antragsgegnerin wählt als Zielversorgung die Deutsche Rentenversicherung Bund.</w:t>
      </w:r>
    </w:p>
    <w:p>
      <w:pPr>
        <w:ind w:left="567"/>
      </w:pPr>
    </w:p>
    <w:p>
      <w:pPr>
        <w:ind w:left="567"/>
      </w:pPr>
      <w:r>
        <w:rPr>
          <w:i/>
        </w:rPr>
        <w:t>4. Im Wege der externen Teilung wird zulasten des bei der Württembergische Lebensversicherungs-AG, Vertrag DV-WL-771429-6, bestehenden Anrechts des Antragstellers zugunsten der Antragsgegnerin ein Kapitalbetrag in Höhe von 22.500,00 €, bezogen auf den 30.04.2021, übertragen.</w:t>
      </w:r>
    </w:p>
    <w:p>
      <w:pPr>
        <w:ind w:left="567"/>
      </w:pPr>
    </w:p>
    <w:p>
      <w:pPr>
        <w:ind w:left="567"/>
      </w:pPr>
      <w:r>
        <w:rPr>
          <w:i/>
        </w:rPr>
        <w:t>5. Im Wege der internen Teilung wird zulasten des bei der Landesversorgung Freistaat Bayern bestehenden Anrechts der Antragsgegnerin zugunsten des Antragstellers ein Anrecht in Höhe von monatlich 925,00 €, bezogen auf den 30.04.2021, übertragen.</w:t>
      </w:r>
    </w:p>
    <w:p>
      <w:pPr>
        <w:ind w:left="567"/>
      </w:pPr>
    </w:p>
    <w:p>
      <w:pPr>
        <w:ind w:left="567"/>
      </w:pPr>
      <w:r>
        <w:rPr>
          <w:i/>
        </w:rPr>
        <w:t>6. Im Wege der internen Teilung wird zulasten des bei der Deutschen Rentenversicherung Bund bestehenden Anrechts der Antragsgegnerin zugunsten des Antragstellers ein Anrecht in Höhe von 2,6 Entgeltpunkten, bezogen auf den 30.04.2021, übertragen.</w:t>
      </w:r>
    </w:p>
    <w:p>
      <w:pPr>
        <w:ind w:left="567"/>
      </w:pPr>
    </w:p>
    <w:p>
      <w:pPr>
        <w:ind w:left="567"/>
      </w:pPr>
      <w:r>
        <w:rPr>
          <w:i/>
        </w:rPr>
        <w:t>7. Die Kosten des Verfahrens werden gegeneinander aufgehoben.</w:t>
      </w:r>
    </w:p>
    <w:p>
      <w:pPr>
        <w:pStyle w:val="Heading2"/>
      </w:pPr>
      <w:r>
        <w:rPr>
          <w:rFonts w:ascii="Times New Roman" w:hAnsi="Times New Roman"/>
        </w:rPr>
        <w:t>Wesentliche Entscheidungsgründe (zusammengefasst)</w:t>
      </w:r>
    </w:p>
    <w:p>
      <w:pPr>
        <w:pStyle w:val="ListBullet"/>
      </w:pPr>
      <w:r>
        <w:t>Die Voraussetzungen einer Härte nach Paragraf 27 VersAusglG liegen nicht vor.</w:t>
      </w:r>
    </w:p>
    <w:p>
      <w:pPr>
        <w:pStyle w:val="ListBullet"/>
      </w:pPr>
      <w:r>
        <w:t>Eine grobe Unbilligkeit wird nicht allein durch ein wirtschaftliches Ungleichgewicht der Beteiligten begründet (mit Verweis auf BGH FamRZ 2009, 1735 und FamRZ 2013, 770).</w:t>
      </w:r>
    </w:p>
    <w:p>
      <w:pPr>
        <w:pStyle w:val="ListBullet"/>
      </w:pPr>
      <w:r>
        <w:t>Das Erbe der Antragsgegnerin sei zwar dem Anfangsvermögen im Sinne des Paragrafen 1374 Abs. 2 BGB zuzurechnen; der davon nicht erfasste, durch eigene Arbeit der Antragsgegnerin erworbene Beamtenversorgungsanspruch sei jedoch in den Versorgungsausgleich einzubeziehen.</w:t>
      </w:r>
    </w:p>
    <w:p>
      <w:pPr>
        <w:pStyle w:val="ListBullet"/>
      </w:pPr>
      <w:r>
        <w:t>Der Antragsteller habe nicht substantiiert dargelegt, dass er auf weitere Altersvorsorge im Hinblick auf eine zukünftige Erbschaft seiner Ehefrau verzichtet habe; dies ist auch nicht plausibel, weil das Testament des Onkels erst 2014, somit 27 Jahre nach Eheschließung, errichtet wurde.</w:t>
      </w:r>
    </w:p>
    <w:p>
      <w:pPr>
        <w:pStyle w:val="Heading2"/>
      </w:pPr>
      <w:r>
        <w:rPr>
          <w:rFonts w:ascii="Times New Roman" w:hAnsi="Times New Roman"/>
        </w:rPr>
        <w:t>Rechtsmittel</w:t>
      </w:r>
    </w:p>
    <w:p>
      <w:pPr>
        <w:jc w:val="left"/>
      </w:pPr>
      <w:r>
        <w:t xml:space="preserve">Gegen den Beschluss vom 28.02.2022, zugestellt am 11.03.2022, hat der Antragsteller mit Schriftsatz vom 04.04.2022 </w:t>
      </w:r>
      <w:r>
        <w:rPr>
          <w:b/>
        </w:rPr>
        <w:t>Beschwerde</w:t>
      </w:r>
      <w:r>
        <w:t xml:space="preserve"> zum OLG Nürnberg eingelegt (Paragraf 58 FamFG). Die Beschwerde richtet sich allein gegen die Ziffern 2 bis 6 des Tenors (Versorgungsausgleich). Die Scheidung als solche ist nicht angegriffen und mit Ablauf der Beschwerdefrist (12.04.2022, 24:00 Uhr) am 13.04.2022 rechtskräftig geworden.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Nürnberg-Fürth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Nürnberg-Fürth</w:t>
    </w:r>
  </w:p>
  <w:p>
    <w:pPr>
      <w:jc w:val="left"/>
      <w:pBdr>
        <w:bottom w:val="single" w:sz="6" w:space="2" w:color="3B3F45"/>
      </w:pBdr>
    </w:pPr>
    <w:r>
      <w:rPr>
        <w:rFonts w:ascii="Times New Roman" w:hAnsi="Times New Roman"/>
        <w:color w:val="6B6B66"/>
        <w:sz w:val="16"/>
      </w:rPr>
      <w:t>Gericht · Aktenzeichen: 110 F 2418/21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