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Beschwerdebegründung des Ehemanns (Schriftsatz RA Vorndran vom 22.05.2022)</w:t>
      </w:r>
    </w:p>
    <w:p>
      <w:pPr>
        <w:jc w:val="left"/>
      </w:pPr>
      <w:r>
        <w:rPr>
          <w:b/>
        </w:rPr>
        <w:t>OLG Nürnberg — 7. Familiensenat</w:t>
      </w:r>
    </w:p>
    <w:p>
      <w:pPr>
        <w:jc w:val="left"/>
      </w:pPr>
      <w:r>
        <w:rPr>
          <w:b/>
        </w:rPr>
        <w:t>Aktenzeichen:</w:t>
      </w:r>
      <w:r>
        <w:t xml:space="preserve"> 7 UF 743/22</w:t>
      </w:r>
    </w:p>
    <w:p>
      <w:pPr>
        <w:jc w:val="left"/>
      </w:pPr>
      <w:r>
        <w:rPr>
          <w:b/>
        </w:rPr>
        <w:t>Beschwerdeführer:</w:t>
      </w:r>
      <w:r>
        <w:t xml:space="preserve"> Dr. med. dent. Maximilian Schäfer</w:t>
      </w:r>
    </w:p>
    <w:p>
      <w:pPr>
        <w:jc w:val="left"/>
      </w:pPr>
      <w:r>
        <w:rPr>
          <w:b/>
        </w:rPr>
        <w:t>Beschwerdegegnerin:</w:t>
      </w:r>
      <w:r>
        <w:t xml:space="preserve"> Leonie Schäfer</w:t>
      </w:r>
    </w:p>
    <w:p>
      <w:pPr>
        <w:pStyle w:val="Heading2"/>
      </w:pPr>
      <w:r>
        <w:rPr>
          <w:rFonts w:ascii="Times New Roman" w:hAnsi="Times New Roman"/>
        </w:rPr>
        <w:t>Anträge des Beschwerdeführers</w:t>
      </w:r>
    </w:p>
    <w:p>
      <w:pPr>
        <w:pStyle w:val="ListNumber"/>
      </w:pPr>
      <w:r>
        <w:t>Der Beschluss des Amtsgerichts Nürnberg-Fürth vom 28.02.2022 wird in den Ziffern 2 bis 6 aufgehoben.</w:t>
      </w:r>
    </w:p>
    <w:p>
      <w:pPr>
        <w:pStyle w:val="ListNumber"/>
      </w:pPr>
      <w:r>
        <w:t>Es wird festgestellt, dass ein Versorgungsausgleich zwischen den Beteiligten gemäß Paragraf 27 VersAusglG nicht stattfindet.</w:t>
      </w:r>
    </w:p>
    <w:p>
      <w:pPr>
        <w:pStyle w:val="ListNumber"/>
      </w:pPr>
      <w:r>
        <w:t>Hilfsweise: Die Durchführung des Versorgungsausgleichs ist auf das beiderseitig erworbene Anrecht im Verhältnis 1:1 zu beschränken, mit Saldenausgleich.</w:t>
      </w:r>
    </w:p>
    <w:p>
      <w:pPr>
        <w:pStyle w:val="ListNumber"/>
      </w:pPr>
      <w:r>
        <w:t>Die Kosten beider Instanzen trägt die Antragsgegnerin.</w:t>
      </w:r>
    </w:p>
    <w:p>
      <w:pPr>
        <w:pStyle w:val="Heading2"/>
      </w:pPr>
      <w:r>
        <w:rPr>
          <w:rFonts w:ascii="Times New Roman" w:hAnsi="Times New Roman"/>
        </w:rPr>
        <w:t xml:space="preserve">Wesentliche Begründung (zusammengefasst, vollständiger Text in </w:t>
      </w:r>
      <w:r>
        <w:rPr>
          <w:rFonts w:ascii="Times New Roman" w:hAnsi="Times New Roman"/>
        </w:rPr>
        <w:t>docx/Beschwerdebegruendung_Vorndran_22_05_2022.docx</w:t>
      </w:r>
      <w:r>
        <w:rPr>
          <w:rFonts w:ascii="Times New Roman" w:hAnsi="Times New Roman"/>
        </w:rPr>
        <w:t>)</w:t>
      </w:r>
    </w:p>
    <w:p>
      <w:pPr>
        <w:pStyle w:val="Heading3"/>
      </w:pPr>
      <w:r>
        <w:rPr>
          <w:rFonts w:ascii="Times New Roman" w:hAnsi="Times New Roman"/>
        </w:rPr>
        <w:t>1 Allgemein</w:t>
      </w:r>
    </w:p>
    <w:p>
      <w:pPr>
        <w:jc w:val="left"/>
      </w:pPr>
      <w:r>
        <w:t>Der Beschwerdeführer beanstandet die Anwendung des Paragrafen 27 VersAusglG durch das Amtsgericht. Die Vorschrift sei seit der Reform 2009 (Paragraf 27 VersAusglG, vormals Paragraf 1587c BGB a. F.) sehr eng zu lesen, aber das Amtsgericht habe den Härtefall nicht hinreichend geprüft.</w:t>
      </w:r>
    </w:p>
    <w:p>
      <w:pPr>
        <w:pStyle w:val="Heading3"/>
      </w:pPr>
      <w:r>
        <w:rPr>
          <w:rFonts w:ascii="Times New Roman" w:hAnsi="Times New Roman"/>
        </w:rPr>
        <w:t>2 Wirtschaftliches Ungleichgewicht</w:t>
      </w:r>
    </w:p>
    <w:p>
      <w:pPr>
        <w:pStyle w:val="ListBullet"/>
      </w:pPr>
      <w:r>
        <w:t>Die Antragsgegnerin verfügt nachweislich über ein Bruttovermögen von 6,9 Mio. € (Verkehrswert Erbschaft Winterstein 2019 zuzüglich Erträge).</w:t>
      </w:r>
    </w:p>
    <w:p>
      <w:pPr>
        <w:pStyle w:val="ListBullet"/>
      </w:pPr>
      <w:r>
        <w:t>Davon entfallen 5,25 Mio. € auf laufend ertragstarke Immobilien (Mehrfamilienhaus Bamberg, Gewerbeimmobilie Forchheim, Eigentumswohnung München).</w:t>
      </w:r>
    </w:p>
    <w:p>
      <w:pPr>
        <w:pStyle w:val="ListBullet"/>
      </w:pPr>
      <w:r>
        <w:t>Die monatlichen Mieteinnahmen belaufen sich auf ca. 23.300 €.</w:t>
      </w:r>
    </w:p>
    <w:p>
      <w:pPr>
        <w:pStyle w:val="ListBullet"/>
      </w:pPr>
      <w:r>
        <w:t>Demgegenüber verfügt der Beschwerdeführer über ein Reinvermögen von etwa 195.000 €, eine Praxis mit eingeschränkter Werthaltigkeit infolge gesundheitlicher Beeinträchtigung und ein laufendes Einkommen aus selbständiger Tätigkeit, das sich altersbedingt verringern wird.</w:t>
      </w:r>
    </w:p>
    <w:p>
      <w:pPr>
        <w:pStyle w:val="Heading3"/>
      </w:pPr>
      <w:r>
        <w:rPr>
          <w:rFonts w:ascii="Times New Roman" w:hAnsi="Times New Roman"/>
        </w:rPr>
        <w:t>3 Vermögensentwicklung und Verhalten der Antragsgegnerin</w:t>
      </w:r>
    </w:p>
    <w:p>
      <w:pPr>
        <w:jc w:val="left"/>
      </w:pPr>
      <w:r>
        <w:t>Die Antragsgegnerin habe das ererbte Vermögen niemals zur gemeinsamen Lebensführung beigetragen; vielmehr habe sie das Vermögen strikt separat verwaltet. Schon damit zeige sich, dass das Erbe ausschließlich ihr zugutekommen solle. Wenn das Erbe sie wirtschaftlich vor allen Risiken absichere, verstoße der Versorgungsausgleich gegen das Prinzip einer „durch die Ehe vermittelten Sicherungsfunktion".</w:t>
      </w:r>
    </w:p>
    <w:p>
      <w:pPr>
        <w:pStyle w:val="Heading3"/>
      </w:pPr>
      <w:r>
        <w:rPr>
          <w:rFonts w:ascii="Times New Roman" w:hAnsi="Times New Roman"/>
        </w:rPr>
        <w:t>4 Gesundheit des Beschwerdeführers</w:t>
      </w:r>
    </w:p>
    <w:p>
      <w:pPr>
        <w:jc w:val="left"/>
      </w:pPr>
      <w:r>
        <w:t>Der Beschwerdeführer leidet an einem chronischen lumbalen Wirbelsäulenleiden (Atteste Dr. Reisinger 02.04.2021 und 14.03.2022). Er hat die Arbeitszeit seit März 2021 auf 30 Wochenstunden reduziert. Ein vollständiger Versorgungsausgleich werde seine Altersversorgung empfindlich treffen; die Antragsgegnerin sei demgegenüber durch ihre Vermögenslage abgesichert.</w:t>
      </w:r>
    </w:p>
    <w:p>
      <w:pPr>
        <w:pStyle w:val="Heading3"/>
      </w:pPr>
      <w:r>
        <w:rPr>
          <w:rFonts w:ascii="Times New Roman" w:hAnsi="Times New Roman"/>
        </w:rPr>
        <w:t>5 Behauptete gemeinsame Vermögensplanung</w:t>
      </w:r>
    </w:p>
    <w:p>
      <w:pPr>
        <w:jc w:val="left"/>
      </w:pPr>
      <w:r>
        <w:t>Die Beteiligten seien bis weit in die 2000er Jahre davon ausgegangen, dass die Antragsgegnerin später erben werde und das Vermögen die gemeinsame Alterssicherung darstellen würde. Der Beschwerdeführer habe deshalb auf eine über die BVZ hinausgehende eigene Altersvorsorge verzichtet.</w:t>
      </w:r>
    </w:p>
    <w:p>
      <w:pPr>
        <w:pStyle w:val="Heading3"/>
      </w:pPr>
      <w:r>
        <w:rPr>
          <w:rFonts w:ascii="Times New Roman" w:hAnsi="Times New Roman"/>
        </w:rPr>
        <w:t>6 Grobe Unbilligkeit</w:t>
      </w:r>
    </w:p>
    <w:p>
      <w:pPr>
        <w:jc w:val="left"/>
      </w:pPr>
      <w:r>
        <w:t>Im Lichte der Gesamtumstände sei die Durchführung des Versorgungsausgleichs grob unbillig im Sinne des Paragrafen 27 VersAusglG. Insbesondere die Pauschalierung „die wirtschaftlich Schwächere ist auszugleichen" widerspreche dem Zweck der Vorschrift, wenn die Ausgleichsberechtigte schwer-vermögend sei.</w:t>
      </w:r>
    </w:p>
    <w:p>
      <w:pPr>
        <w:pStyle w:val="Heading2"/>
      </w:pPr>
      <w:r>
        <w:rPr>
          <w:rFonts w:ascii="Times New Roman" w:hAnsi="Times New Roman"/>
        </w:rPr>
        <w:t>Beweisangebote</w:t>
      </w:r>
    </w:p>
    <w:p>
      <w:pPr>
        <w:pStyle w:val="ListBullet"/>
      </w:pPr>
      <w:r>
        <w:t>Sachverständigengutachten zur Verkehrswertentwicklung des Immobilienportfolios der Antragsgegnerin</w:t>
      </w:r>
    </w:p>
    <w:p>
      <w:pPr>
        <w:pStyle w:val="ListBullet"/>
      </w:pPr>
      <w:r>
        <w:t>Bei Bestreiten: Einvernahme des Steuerberaters StB Dirk Hubrich (Erlangen) zur Bewertung der Praxis Dr. Schäfer</w:t>
      </w:r>
    </w:p>
    <w:p>
      <w:pPr>
        <w:pStyle w:val="ListBullet"/>
      </w:pPr>
      <w:r>
        <w:t>Vernehmung der Antragsgegnerin als Beteiligte (Paragraf 28 FamFG) zu Behauptungen der gemeinsamen Vermögensplanung</w:t>
      </w:r>
    </w:p>
    <w:p>
      <w:pPr>
        <w:pStyle w:val="Heading2"/>
      </w:pPr>
      <w:r>
        <w:rPr>
          <w:rFonts w:ascii="Times New Roman" w:hAnsi="Times New Roman"/>
        </w:rPr>
        <w:t>Aktenstand</w:t>
      </w:r>
    </w:p>
    <w:p>
      <w:pPr>
        <w:pStyle w:val="ListBullet"/>
      </w:pPr>
      <w:r>
        <w:t>Schriftsatz Vorndran vom 22.05.2022 (24 Seiten) liegt vor</w:t>
      </w:r>
    </w:p>
    <w:p>
      <w:pPr>
        <w:pStyle w:val="ListBullet"/>
      </w:pPr>
      <w:r>
        <w:t>Beschwerdeerwiderung Söll-Rödelsteiner vom 04.07.2022 — siehe Aktenstück 10</w:t>
      </w:r>
    </w:p>
    <w:p>
      <w:pPr>
        <w:pStyle w:val="ListBullet"/>
      </w:pPr>
      <w:r>
        <w:t>Hinweisbeschluss OLG 28.07.2022 (Zusammenfassung in Aktenstück 11)</w:t>
      </w:r>
    </w:p>
    <w:p>
      <w:pPr>
        <w:pStyle w:val="ListBullet"/>
      </w:pPr>
      <w:r>
        <w:t>Mündliche Verhandlung 18.10.2022</w:t>
      </w:r>
    </w:p>
    <w:p>
      <w:pPr>
        <w:pStyle w:val="ListBullet"/>
      </w:pPr>
      <w:r>
        <w:t xml:space="preserve">Beschluss OLG 14.11.2022 (vollständig in </w:t>
      </w:r>
      <w:r>
        <w:t>docx/OLG_Nürnberg_Beschluss_14_11_2022.docx</w:t>
      </w:r>
      <w:r>
        <w: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Nürnberg-Fürth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Nürnberg-Fürth</w:t>
    </w:r>
  </w:p>
  <w:p>
    <w:pPr>
      <w:jc w:val="left"/>
      <w:pBdr>
        <w:bottom w:val="single" w:sz="6" w:space="2" w:color="3B3F45"/>
      </w:pBdr>
    </w:pPr>
    <w:r>
      <w:rPr>
        <w:rFonts w:ascii="Times New Roman" w:hAnsi="Times New Roman"/>
        <w:color w:val="6B6B66"/>
        <w:sz w:val="16"/>
      </w:rPr>
      <w:t>Gericht · Aktenzeichen: 7 UF 743/22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