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OBERLANDESGERICHT NÜRNBERG</w:t>
      </w:r>
    </w:p>
    <w:p>
      <w:pPr>
        <w:jc w:val="center"/>
      </w:pPr>
      <w:r>
        <w:t>7. Familiensenat</w:t>
      </w:r>
    </w:p>
    <w:p>
      <w:r/>
    </w:p>
    <w:p>
      <w:pPr>
        <w:jc w:val="center"/>
      </w:pPr>
      <w:r>
        <w:rPr>
          <w:b/>
        </w:rPr>
        <w:t>Az. 7 UF 743/22</w:t>
      </w:r>
    </w:p>
    <w:p>
      <w:r/>
    </w:p>
    <w:p>
      <w:pPr>
        <w:pStyle w:val="Heading1"/>
      </w:pPr>
      <w:r>
        <w:rPr>
          <w:rFonts w:ascii="Calibri" w:hAnsi="Calibri"/>
        </w:rPr>
        <w:t>Protokoll</w:t>
      </w:r>
    </w:p>
    <w:p>
      <w:r>
        <w:t>über die öffentliche Sitzung</w:t>
      </w:r>
    </w:p>
    <w:p>
      <w:r/>
    </w:p>
    <w:p>
      <w:r>
        <w:rPr>
          <w:b/>
        </w:rPr>
        <w:t>vom 18. Oktober 2022</w:t>
      </w:r>
    </w:p>
    <w:p>
      <w:r>
        <w:t>10:00 Uhr bis 12:35 Uhr</w:t>
      </w:r>
    </w:p>
    <w:p>
      <w:r>
        <w:t>Sitzungssaal 224, Justizzentrum Nürnberg, Fürther Str. 110</w:t>
      </w:r>
    </w:p>
    <w:p>
      <w:r/>
    </w:p>
    <w:p>
      <w:r>
        <w:t>Anwesend:</w:t>
      </w:r>
    </w:p>
    <w:p>
      <w:r>
        <w:t>Vorsitzender Richter am Oberlandesgericht Dr. Hans-Werner Pirckheimer</w:t>
      </w:r>
    </w:p>
    <w:p>
      <w:r>
        <w:t>Richterin am Oberlandesgericht Christina Lampertshausen-Wittmann</w:t>
      </w:r>
    </w:p>
    <w:p>
      <w:r>
        <w:t>Richter am Oberlandesgericht Dr. Friedhelm Buchberger</w:t>
      </w:r>
    </w:p>
    <w:p>
      <w:r>
        <w:t>Urkundsbeamter der Geschäftsstelle: Justizinspektor Manuel Brückl</w:t>
      </w:r>
    </w:p>
    <w:p>
      <w:r/>
    </w:p>
    <w:p>
      <w:r>
        <w:t>In der Familiensache</w:t>
      </w:r>
    </w:p>
    <w:p>
      <w:r/>
    </w:p>
    <w:p>
      <w:r>
        <w:rPr>
          <w:b/>
        </w:rPr>
        <w:t>Dr. Maximilian Schäfer ./. Leonie Schäfer</w:t>
      </w:r>
    </w:p>
    <w:p>
      <w:r/>
    </w:p>
    <w:p>
      <w:r>
        <w:t>erscheinen:</w:t>
      </w:r>
    </w:p>
    <w:p>
      <w:r>
        <w:t>1. Antragsteller und Beschwerdeführer: Dr. Maximilian Schäfer, persönlich,</w:t>
      </w:r>
    </w:p>
    <w:p>
      <w:r>
        <w:t xml:space="preserve">   begleitet von Rechtsanwalt Andreas Vorndran;</w:t>
      </w:r>
    </w:p>
    <w:p>
      <w:r>
        <w:t>2. Antragsgegnerin und Beschwerdegegnerin: Leonie Schäfer geb. Winterstein, persönlich,</w:t>
      </w:r>
    </w:p>
    <w:p>
      <w:r>
        <w:t xml:space="preserve">   begleitet von Rechtsanwältin Helene Söll-Rödelsteiner.</w:t>
      </w:r>
    </w:p>
    <w:p>
      <w:r/>
    </w:p>
    <w:p>
      <w:r>
        <w:t>Der Vorsitzende eröffnet die Sitzung und stellt fest, dass die Sache zur Verhandlung steht.</w:t>
      </w:r>
    </w:p>
    <w:p>
      <w:r/>
    </w:p>
    <w:p>
      <w:r>
        <w:t>Der Sachverhalt wird durch die Berichterstatterin Lampertshausen-Wittmann zusammengefasst.</w:t>
      </w:r>
    </w:p>
    <w:p>
      <w:r/>
    </w:p>
    <w:p>
      <w:pPr>
        <w:pStyle w:val="Heading2"/>
      </w:pPr>
      <w:r>
        <w:rPr>
          <w:rFonts w:ascii="Calibri" w:hAnsi="Calibri"/>
        </w:rPr>
        <w:t>1. Anhörung des Antragstellers</w:t>
      </w:r>
    </w:p>
    <w:p>
      <w:r>
        <w:t>Dr. Schäfer wird zu seinen wirtschaftlichen Verhältnissen befragt. Er gibt an, seine Praxis erziele aktuell rund 211.000 EUR Gewinn pro Jahr; die Tendenz sei aufgrund einer 2020 diagnostizierten Coxarthrose fallend. Eine Praxisabgabe in fünf bis sieben Jahren sei vorgesehen. Sein Vermögen betrage rund 195.000 EUR; nennenswerte Ersparnisse seien nicht vorhanden. Die Anrechte bei der Bayerischen Ärzteversorgung in Höhe von 4.127,42 EUR seien seine zentrale Altersvorsorge.</w:t>
      </w:r>
    </w:p>
    <w:p>
      <w:r/>
    </w:p>
    <w:p>
      <w:pPr>
        <w:pStyle w:val="Heading2"/>
      </w:pPr>
      <w:r>
        <w:rPr>
          <w:rFonts w:ascii="Calibri" w:hAnsi="Calibri"/>
        </w:rPr>
        <w:t>2. Anhörung der Antragsgegnerin</w:t>
      </w:r>
    </w:p>
    <w:p>
      <w:r>
        <w:t>Frau Schäfer wird zu ihrem Erbe Winterstein 2019 und zu ihren Vermögensverhältnissen befragt. Sie schildert, dass das Erbe einseitig erworben und überwiegend in Immobilien gebunden sei. Die Mieteinnahmen verwende sie zu rund 60 Prozent für laufende Instandhaltung, Verwaltung und Steuern; die verbleibenden 40 Prozent fliessen in ein Rücklagenkonto für Modernisierungen.</w:t>
      </w:r>
    </w:p>
    <w:p>
      <w:r>
        <w:t>Sie weist darauf hin, dass sie ihrerseits eine Beamtenversorgung von 1.850 EUR und ein DRV-Gesamtkonto von 12,5 Entgeltpunkten habe, aus dem nur 5,2 Entgeltpunkte in die Ehezeit fielen; sie sei nicht auf den Versorgungsausgleich angewiesen, betone aber, dass dies für den Halbteilungsgrundsatz irrelevant sei.</w:t>
      </w:r>
    </w:p>
    <w:p>
      <w:r/>
    </w:p>
    <w:p>
      <w:pPr>
        <w:pStyle w:val="Heading2"/>
      </w:pPr>
      <w:r>
        <w:rPr>
          <w:rFonts w:ascii="Calibri" w:hAnsi="Calibri"/>
        </w:rPr>
        <w:t>3. Beweisaufnahme - Sachverständiger</w:t>
      </w:r>
    </w:p>
    <w:p>
      <w:r>
        <w:t>Auf Beschluss des Senats vom 12.09.2022 erstattet der Wirtschaftsprüfer und Sachverständige Dipl.-Kfm. Helmut Weisbacher (Sachverständigenbüro Weisbacher und Partner, Erlangen) mündlich sein Gutachten zur Verkehrswert- und Verwertbarkeitslage der drei Immobilien der Antragsgegnerin sowie zum Praxiswert des Antragstellers.</w:t>
      </w:r>
    </w:p>
    <w:p>
      <w:r/>
    </w:p>
    <w:p>
      <w:r>
        <w:t>Der Sachverständige führt aus:</w:t>
      </w:r>
    </w:p>
    <w:p>
      <w:r>
        <w:t>- Verkehrswerte (Stichtag 31.12.2021): Mehrfamilienhaus Bamberg 2.795.000 EUR; Gewerbeimmobilie Forchheim 1.510.000 EUR; ETW München 945.000 EUR; insgesamt 5.250.000 EUR.</w:t>
      </w:r>
    </w:p>
    <w:p>
      <w:r>
        <w:t>- Verwertbarkeit: Mehrfamilienhaus Bamberg kurzfristig verwertbar mit Abschlag von 8-12 Prozent; Gewerbeimmobilie Forchheim aufgrund der Spezialnutzung mit Abschlag von 15-20 Prozent; ETW München kurzfristig verwertbar mit Abschlag von 5-8 Prozent.</w:t>
      </w:r>
    </w:p>
    <w:p>
      <w:r>
        <w:t>- Beleihung: Bei der Sparkasse Bamberg ist eine Vollvalutierung bis 60 Prozent des Verkehrswerts möglich; absolute Beleihbarkeit ca. 3,15 Mio. EUR.</w:t>
      </w:r>
    </w:p>
    <w:p>
      <w:r>
        <w:t>- Praxis Dr. Schäfer: Ertragswertverfahren ergibt Praxiswert von 380.000 bis 470.000 EUR (Bandbreite je nach Praxisübergabe-Zeitpunkt).</w:t>
      </w:r>
    </w:p>
    <w:p>
      <w:r/>
    </w:p>
    <w:p>
      <w:pPr>
        <w:pStyle w:val="Heading2"/>
      </w:pPr>
      <w:r>
        <w:rPr>
          <w:rFonts w:ascii="Calibri" w:hAnsi="Calibri"/>
        </w:rPr>
        <w:t>4. Vergleichsverhandlungen</w:t>
      </w:r>
    </w:p>
    <w:p>
      <w:r>
        <w:t>Der Vorsitzende regt einen Vergleich an: Reduzierung des VA auf 60 Prozent gegen Verzicht der Antragsgegnerin auf etwaige Pflichtteilsansprüchen aus einem späteren Erbgang des Antragstellers. Die Beteiligten lehnen den Vergleichsvorschlag jeweils ab.</w:t>
      </w:r>
    </w:p>
    <w:p>
      <w:r/>
    </w:p>
    <w:p>
      <w:r>
        <w:t>Sodann ergeht der Beschluss:</w:t>
      </w:r>
    </w:p>
    <w:p>
      <w:r/>
    </w:p>
    <w:p>
      <w:r>
        <w:t>Die mündliche Verhandlung wird geschlossen. Die Entscheidung wird verkündet am 14.11.2022 (Verkündung in Abwesenheit; Zustellung).</w:t>
      </w:r>
    </w:p>
    <w:p>
      <w:r/>
    </w:p>
    <w:p>
      <w:r>
        <w:t>Vorgelesen, genehmigt:</w:t>
      </w:r>
    </w:p>
    <w:p>
      <w:r/>
    </w:p>
    <w:p>
      <w:r>
        <w:t>Dr. Pirckheimer                Manuel Brückl</w:t>
      </w:r>
    </w:p>
    <w:p>
      <w:r>
        <w:t>Vorsitzender                   Urkundsbeamter</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OBERLANDESGERICHT NÜRNBERG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OBERLANDESGERICHT NÜRNBERG</w:t>
    </w:r>
  </w:p>
  <w:p>
    <w:pPr>
      <w:jc w:val="left"/>
      <w:pBdr>
        <w:bottom w:val="single" w:sz="6" w:space="2" w:color="3B3F45"/>
      </w:pBdr>
    </w:pPr>
    <w:r>
      <w:rPr>
        <w:rFonts w:ascii="Times New Roman" w:hAnsi="Times New Roman"/>
        <w:color w:val="6B6B66"/>
        <w:sz w:val="16"/>
      </w:rPr>
      <w:t>Gericht · Az. 7 UF 743/22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