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- Pfaendungs- und Überweisungsbeschluss Postbank</w:t>
      </w:r>
    </w:p>
    <w:p>
      <w:pPr>
        <w:jc w:val="left"/>
      </w:pPr>
      <w:r>
        <w:t>An das</w:t>
      </w:r>
    </w:p>
    <w:p>
      <w:pPr>
        <w:jc w:val="left"/>
      </w:pPr>
      <w:r>
        <w:t>Amtsgericht Krefeld</w:t>
      </w:r>
    </w:p>
    <w:p>
      <w:pPr>
        <w:pStyle w:val="ListBullet"/>
      </w:pPr>
      <w:r>
        <w:t>Vollstreckungsgericht -</w:t>
      </w:r>
    </w:p>
    <w:p>
      <w:pPr>
        <w:jc w:val="left"/>
      </w:pPr>
      <w:r>
        <w:t>Nordwall 131</w:t>
      </w:r>
    </w:p>
    <w:p>
      <w:pPr>
        <w:jc w:val="left"/>
      </w:pPr>
      <w:r>
        <w:t>47798 Krefeld</w:t>
      </w:r>
    </w:p>
    <w:p>
      <w:pPr>
        <w:jc w:val="left"/>
      </w:pPr>
      <w:r>
        <w:t>(Einreichung beA; ab 1.10.2026 zusätzlich ZVFV-XML nach Paragraf 829 Abs. 5 ZPO n.F.)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Niederrhein AOeR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Bevollmächtigte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Boehringer Recht, Krefeld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Bernd Mueller, Beethovenstrasse 12, 47800 Krefeld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Postbank, Niederlassung der Deutsche Bank AG, Friedrich-Ebert-Allee 114-126, 53113 Bonn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Anträge</w:t>
      </w:r>
    </w:p>
    <w:p>
      <w:pPr>
        <w:pStyle w:val="ListNumber"/>
      </w:pPr>
      <w:r>
        <w:t>Wegen der nachstehenden Vollstreckungsforderung wird zugunsten der Gläubigerin gepfändet die angebliche Forderung des Schuldners gegen die Drittschuldnerin auf</w:t>
      </w:r>
    </w:p>
    <w:p>
      <w:pPr>
        <w:jc w:val="left"/>
      </w:pPr>
      <w:r>
        <w:t>a) Auszahlung des gesamten gegenwärtigen Guthabens auf jedem Konto, das die Drittschuldnerin für den Schuldner führt oder eröffnen wird, einschliesslich Tagesgeld- und Festgeldkonten;</w:t>
      </w:r>
    </w:p>
    <w:p>
      <w:pPr>
        <w:jc w:val="left"/>
      </w:pPr>
      <w:r>
        <w:t>b) Auszahlung aller künftigen Eingänge auf diesen Konten;</w:t>
      </w:r>
    </w:p>
    <w:p>
      <w:pPr>
        <w:jc w:val="left"/>
      </w:pPr>
      <w:r>
        <w:t>c) Herausgabe und Auszahlung des Inhalts etwaiger Schliessfaecher.</w:t>
      </w:r>
    </w:p>
    <w:p>
      <w:pPr>
        <w:pStyle w:val="ListNumber"/>
      </w:pPr>
      <w:r>
        <w:t>Die unter Ziffer 1 gepfändete Forderung wird der Gläubigerin zur Einziehung überwiesen (Paragraf 835 Abs. 1 ZPO).</w:t>
      </w:r>
    </w:p>
    <w:p>
      <w:pPr>
        <w:pStyle w:val="ListNumber"/>
      </w:pPr>
      <w:r>
        <w:t>Die Drittschuldnerin wird aufgefordert, binnen zwei Wochen die Erklärung nach Paragraf 840 ZPO abzugeben (zulässig auch in Schriftform per Post).</w:t>
      </w:r>
    </w:p>
    <w:p>
      <w:pPr>
        <w:pStyle w:val="ListNumber"/>
      </w:pPr>
      <w:r>
        <w:t>Der Schuldner wird über die P-Konto-Umwandlung Paragraf 850k ZPO sowie den Moratoriumsschutz Paragraf 833a ZPO belehrt.</w:t>
      </w:r>
    </w:p>
    <w:p>
      <w:pPr>
        <w:pStyle w:val="Heading2"/>
      </w:pPr>
      <w:r>
        <w:rPr>
          <w:rFonts w:ascii="Times New Roman" w:hAnsi="Times New Roman"/>
        </w:rPr>
        <w:t>Vollstreckungsforderung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in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261.480,73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5 Prozent über Basiszinssatz ab 5.4.2026, bei Erlass weiter laufend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1.776,90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4.119,30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Nebenkosten (Notar, GV, Gericht)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192,40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267.569,33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zur Reform 1.10.2027</w:t>
      </w:r>
    </w:p>
    <w:p>
      <w:pPr>
        <w:jc w:val="left"/>
      </w:pPr>
      <w:r>
        <w:t>Die Drittschuldnerin wird darauf hingewiesen, dass sie - sobald sie einen sicheren Uebermittlungsweg im Sinne des Paragraf 130a Abs. 4 ZPO bekanntgegeben hat - die Pfändung künftig elektronisch zugestellt erhält. Ab 1.10.2027 ist die Eröffnung eines sicheren Uebermittlungswegs nach Paragraf 173 Abs. 2 Nr. 1 ZPO n.F. zwingend.</w:t>
      </w:r>
    </w:p>
    <w:p>
      <w:pPr>
        <w:jc w:val="left"/>
      </w:pPr>
      <w:r>
        <w:t>Krefeld, 25.5.2026</w:t>
      </w:r>
    </w:p>
    <w:p>
      <w:pPr>
        <w:jc w:val="left"/>
      </w:pPr>
      <w:r>
        <w:t>Boehringer Recht - Dr. Henrike Boehringer, Rechtsanwältin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Krefeld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Krefeld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