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Krypto-Wallets - Sachverhalt aus der Vermögensauskunft</w:t>
      </w:r>
    </w:p>
    <w:p>
      <w:pPr>
        <w:pStyle w:val="Heading2"/>
      </w:pPr>
      <w:r>
        <w:rPr>
          <w:rFonts w:ascii="Times New Roman" w:hAnsi="Times New Roman"/>
        </w:rPr>
        <w:t>Quelle</w:t>
      </w:r>
    </w:p>
    <w:p>
      <w:pPr>
        <w:jc w:val="left"/>
      </w:pPr>
      <w:r>
        <w:t xml:space="preserve">Vermögensauskunft Bernd Mueller vor GV Olaf Wendt, AG Krefeld, am 22.4.2026, 10:30 Uhr. Schuldner gab unaufgefordert an, über Kryptowerte zu verfügen. Belege wurden zur Akte gereicht (Anlage K 5 und K 6, siehe </w:t>
      </w:r>
      <w:r>
        <w:t>originale/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Wallet A - self-hosted (Hardware-Wallet Ledger Nano 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Ledger Nano X, Seriennummer S/N nicht angegeben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Aufbewahrung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Heimsafe Beethovenstrasse 12; Seed-Phrase 24 Wörter auf Stahlblech "Cryptosteel Capsule" im selben Safe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Backup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digitale Kopie auf MacBook Pro 14 Zoll des Schuldners (verschlüsselt)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Software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Ledger Live, Sparrow Wallet, BlueWallet auf iPhone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Adressen (Stichproben)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bc1qz0u4fhk7qa9c... (BTC), 0xA9F12dE4BCb78a... (ETH/USDT ERC-20)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 laut 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0,42 BTC, 11.500 USDT (ERC-20)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Marktwert per 22.4.2026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0,42 BTC zu ca. 95.000 USD = 39.900 USD; 11.500 USDT = 11.500 USD; Summe ca. 47.000 USD bzw. rd. 43.000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Rechtsnatur Wallet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reines technisches Werkzeug; </w:t>
            </w:r>
            <w:r>
              <w:rPr>
                <w:rFonts w:ascii="Times New Roman" w:hAnsi="Times New Roman"/>
                <w:b/>
                <w:sz w:val="20"/>
              </w:rPr>
              <w:t>keine</w:t>
            </w:r>
            <w:r>
              <w:rPr>
                <w:rFonts w:ascii="Times New Roman" w:hAnsi="Times New Roman"/>
                <w:sz w:val="20"/>
              </w:rPr>
              <w:t xml:space="preserve"> Forderung gegen einen Dritten; der Schuldner ist allein verfuegungsberechtigt durch Besitz der privaten Schlüssel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Drittschuldner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keiner</w:t>
            </w:r>
            <w:r>
              <w:rPr>
                <w:rFonts w:ascii="Times New Roman" w:hAnsi="Times New Roman"/>
                <w:sz w:val="20"/>
              </w:rPr>
              <w:t xml:space="preserve"> - es gibt schlicht keinen Anspruch eines Dritten, gegen den vollstreckt werden könnte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Wallet B - custodial (Bitpanda GmbH, Wien)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Anbieter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Bitpanda GmbH, Stella-Klein-Loew-Weg 17, 1020 Wien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Erlaubnis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Krypto-Verwahrer nach Paragraf 1 Abs. 1a Satz 2 Nr. 6 KWG durch BaFin (deutsche Tochter Bitpanda Asset Management GmbH; ggf. zusätzlich österreichische FMA-Aufsicht)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Konto-Nr.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5598-77821-MUE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Login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übliche 2FA mit Email + TOTP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 laut 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0,18 BTC, 4.300 USDC, 22.000 EUR Fiat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Marktwert per 22.4.2026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0,18 BTC = ca. 17.100 USD; 4.300 USDC = 4.300 USD; 22.000 EUR = 22.000 EUR; Summe rd. 42.000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Rechtsnatur Wallet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schuldrechtlicher Herausgabe- bzw. Auszahlungsanspruch des Schuldners gegen Bitpanda als Krypto-Verwahrerin; Bitpanda hält die privaten Schlüssel und ist treuhänderische Verwahrerin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Drittschuldnerin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Bitpanda GmbH, Wien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Konsequenz für die Vollstreckung</w:t>
      </w:r>
    </w:p>
    <w:p>
      <w:pPr>
        <w:jc w:val="left"/>
      </w:pPr>
      <w:r>
        <w:t>Aus dem Unterschied folgt die ganz unterschiedliche Vollstreckungsmechanik:</w:t>
      </w:r>
    </w:p>
    <w:p>
      <w:pPr>
        <w:pStyle w:val="ListBullet"/>
      </w:pPr>
      <w:r>
        <w:rPr>
          <w:b/>
        </w:rPr>
        <w:t>Wallet A self-hosted</w:t>
      </w:r>
      <w:r>
        <w:t xml:space="preserve"> ist eine </w:t>
      </w:r>
      <w:r>
        <w:rPr>
          <w:b/>
        </w:rPr>
        <w:t>Sachpfändung</w:t>
      </w:r>
      <w:r>
        <w:t xml:space="preserve"> im Sinne der Paragrafen 808 ff. ZPO mit Eigentümlichkeiten: gepfändet wird das Gerät (Ledger), zugänglich werden die Krypto-Bestände erst über die Seed-Phrase, die als verkörperte Information eigenständig gepfändet wird (BGH-Linie bislang nicht abschliessend; obergerichtlich AG Heidelberg 21.6.2022 - 5 M 1124/22, LG Stuttgart 31.5.2023 - 19 T 22/23 zu Krypto-Sachpfändungen).</w:t>
      </w:r>
    </w:p>
    <w:p>
      <w:pPr>
        <w:pStyle w:val="ListBullet"/>
      </w:pPr>
      <w:r>
        <w:rPr>
          <w:b/>
        </w:rPr>
        <w:t>Wallet B custodial</w:t>
      </w:r>
      <w:r>
        <w:t xml:space="preserve"> ist eine </w:t>
      </w:r>
      <w:r>
        <w:rPr>
          <w:b/>
        </w:rPr>
        <w:t>Forderungspfändung</w:t>
      </w:r>
      <w:r>
        <w:t xml:space="preserve"> Paragrafen 829, 835 ZPO gegen Bitpanda als Drittschuldnerin. Auslandsbezug (Sitz Wien): EuKtPVO oder Zustellung nach EU-Zustellungs-VO 2020/1784.</w:t>
      </w:r>
    </w:p>
    <w:p>
      <w:pPr>
        <w:jc w:val="left"/>
      </w:pPr>
      <w:r>
        <w:t>Die folgenden beiden Dateien (</w:t>
      </w:r>
      <w:r>
        <w:t>02_wallet_a_selfhosted.md</w:t>
      </w:r>
      <w:r>
        <w:t xml:space="preserve">, </w:t>
      </w:r>
      <w:r>
        <w:t>03_wallet_b_custodial.md</w:t>
      </w:r>
      <w:r>
        <w:t xml:space="preserve">) bauen die jeweilige Mechanik aus. </w:t>
      </w:r>
      <w:r>
        <w:t>04_gegenueberstellung.md</w:t>
      </w:r>
      <w:r>
        <w:t xml:space="preserve"> fasst zusammen.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Bitpanda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Bitpanda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Wien)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