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Cap-Table-Post-Money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Cap-Table Post-Money</w:t>
      </w:r>
    </w:p>
    <w:p>
      <w:pPr>
        <w:pStyle w:val="Heading3"/>
      </w:pPr>
      <w:r>
        <w:rPr>
          <w:rFonts w:ascii="Times New Roman" w:hAnsi="Times New Roman"/>
        </w:rPr>
        <w:t>Cap-Table Post-Money — Sonnenglas Solartechnologie UG (haftungsbeschraenkt)</w:t>
      </w:r>
    </w:p>
    <w:p>
      <w:pPr>
        <w:jc w:val="left"/>
      </w:pPr>
      <w:r>
        <w:t>_Nach Wandlung Northstar + Seed-Runde Polaris/Solar Future · Stichtag 4. März 2027_</w:t>
      </w:r>
    </w:p>
    <w:p>
      <w:pPr>
        <w:jc w:val="left"/>
      </w:pPr>
      <w:r>
        <w:t>_Eckdaten Runde_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Anlass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Kapitalerhöhung im Rahmen Seed-Runde Q1/2027 + Wandlung Wandeldarlehen Northstar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Spalte 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Spalte 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Spalte 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Spalte 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Spalte 7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Stichtag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4. März 2027 (Notartermin Dr. Eva Wendthusen)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Pre-Money-Bewertung (Seed)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EUR 6.500.000,00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Seed-Volumen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EUR 2.000.000,00 (Lead Polaris 1.500.000 / Co Solar Future 500.000)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Cap-Preis Northstar (greift)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EUR 4.000,00 / Anteil (entspricht Cap 4 Mio Pre-Money / 1.000 Anteile)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Seed-Preis je Anteil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EUR 6.500,00 (Pre-Money / Stammkapital vor Runde)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Gesellschafterstruktur Post-Money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Gesellschafter:in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Klasse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Geschäftsanteile (Nrn.)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Anzahl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Nennbetrag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Investment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Anteil voll verwässert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Dr. Mira Schoeneck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Common (Gründer)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1 - 600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43,67 %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Lina Habersaat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Common (Gründer)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601 - 1000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29,11 %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Northstar Pre-Seed Partners GmbH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Preferred Seed (gewandelt)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1001 - 1066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261.541,67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4,8 %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Polaris Climate Ventures SCS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Preferred Seed (Lead)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1067 - 1297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231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231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1.500.000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16,81 %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Solar Future Holding GmbH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Preferred Seed (Co)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1298 - 1374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500.000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5,6 %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Summe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1 - 1374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1.374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1.374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2.261.541,67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Verwaesserungs-Check (Plausibilisierung)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Gründer Schoeneck vorher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60,00 %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Gründer Schoeneck nachher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43,67%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Gründer Habersaat vorher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40,00 %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Gründer Habersaat nachher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29,11%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Verwaesserung Gründer total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27,22% (entspricht Northstar+Seed-Anteil)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Wandelpraemie Northstar effektiv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Cap greift -&gt; günstiger als Seed (Faktor 1,625x)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Sonnenglas Solartechnologie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Sonnenglas Solartechnologie UG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