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Mandatsaufnahme und Erstgespräch</w:t>
      </w:r>
    </w:p>
    <w:p>
      <w:pPr>
        <w:jc w:val="left"/>
      </w:pPr>
      <w:r>
        <w:rPr>
          <w:b/>
        </w:rPr>
        <w:t>Kanzlei Niedermair Baurecht Rosenheim</w:t>
      </w:r>
    </w:p>
    <w:p>
      <w:pPr>
        <w:jc w:val="left"/>
      </w:pPr>
      <w:r>
        <w:rPr>
          <w:b/>
        </w:rPr>
        <w:t>Fachanwältin für Bau- und Architektenrecht Dr. Henriette Niedermair</w:t>
      </w:r>
    </w:p>
    <w:p>
      <w:pPr>
        <w:jc w:val="left"/>
      </w:pPr>
      <w:r>
        <w:t>Kanzleianschrift: Ludwigstraße 18, 83022 Rosenheim</w:t>
      </w:r>
    </w:p>
    <w:p>
      <w:pPr>
        <w:jc w:val="left"/>
      </w:pPr>
      <w:r>
        <w:t>Tel.: 08031 / 44 77 20 — Fax: 08031 / 44 77 29</w:t>
      </w:r>
    </w:p>
    <w:p/>
    <w:p>
      <w:pPr>
        <w:jc w:val="left"/>
      </w:pPr>
      <w:r>
        <w:rPr>
          <w:b/>
        </w:rPr>
        <w:t>Aktenzeichen (intern):</w:t>
      </w:r>
      <w:r>
        <w:t xml:space="preserve"> NB-2026-0318</w:t>
      </w:r>
    </w:p>
    <w:p>
      <w:pPr>
        <w:jc w:val="left"/>
      </w:pPr>
      <w:r>
        <w:rPr>
          <w:b/>
        </w:rPr>
        <w:t>Mandantin:</w:t>
      </w:r>
      <w:r>
        <w:t xml:space="preserve"> Saalbau Wendelstein gGmbH, vertreten durch Geschäftsführerin Monika Ehrhardt-Vogler</w:t>
      </w:r>
    </w:p>
    <w:p>
      <w:pPr>
        <w:jc w:val="left"/>
      </w:pPr>
      <w:r>
        <w:rPr>
          <w:b/>
        </w:rPr>
        <w:t>Mandat angenommen:</w:t>
      </w:r>
      <w:r>
        <w:t xml:space="preserve"> 18. März 2026</w:t>
      </w:r>
    </w:p>
    <w:p>
      <w:pPr>
        <w:jc w:val="left"/>
      </w:pPr>
      <w:r>
        <w:rPr>
          <w:b/>
        </w:rPr>
        <w:t>Erstgespräch:</w:t>
      </w:r>
      <w:r>
        <w:t xml:space="preserve"> 18. März 2026, 10:00 Uhr, Kanzleiräume Rosenheim</w:t>
      </w:r>
    </w:p>
    <w:p/>
    <w:p>
      <w:pPr>
        <w:pStyle w:val="Heading2"/>
      </w:pPr>
      <w:r>
        <w:rPr>
          <w:rFonts w:ascii="Times New Roman" w:hAnsi="Times New Roman"/>
        </w:rPr>
        <w:t>Sachverhaltsaufnahme — Kanzleinotiz</w:t>
      </w:r>
    </w:p>
    <w:p>
      <w:pPr>
        <w:pStyle w:val="Heading3"/>
      </w:pPr>
      <w:r>
        <w:rPr>
          <w:rFonts w:ascii="Times New Roman" w:hAnsi="Times New Roman"/>
        </w:rPr>
        <w:t>Erschienene Personen</w:t>
      </w:r>
    </w:p>
    <w:p>
      <w:pPr>
        <w:pStyle w:val="ListBullet"/>
      </w:pPr>
      <w:r>
        <w:rPr>
          <w:b/>
        </w:rPr>
        <w:t>Monika Ehrhardt-Vogler</w:t>
      </w:r>
      <w:r>
        <w:t>, Geschäftsführerin Saalbau Wendelstein gGmbH, Wittelsbacherstraße 102, 83022 Rosenheim</w:t>
      </w:r>
    </w:p>
    <w:p>
      <w:pPr>
        <w:pStyle w:val="ListBullet"/>
      </w:pPr>
      <w:r>
        <w:rPr>
          <w:b/>
        </w:rPr>
        <w:t>Stefan Vogt</w:t>
      </w:r>
      <w:r>
        <w:t>, technischer Projektleiter Saalbau Wendelstein gGmbH (anwesend ab 10:45 Uhr per Telefon)</w:t>
      </w:r>
    </w:p>
    <w:p>
      <w:pPr>
        <w:jc w:val="left"/>
      </w:pPr>
      <w:r>
        <w:t xml:space="preserve">Vertreten von: </w:t>
      </w:r>
      <w:r>
        <w:rPr>
          <w:b/>
        </w:rPr>
        <w:t>RAin Dr. Henriette Niedermair</w:t>
      </w:r>
      <w:r>
        <w:t>, Fachanwältin für Bau- und Architektenrecht</w:t>
      </w:r>
    </w:p>
    <w:p/>
    <w:p>
      <w:pPr>
        <w:pStyle w:val="Heading3"/>
      </w:pPr>
      <w:r>
        <w:rPr>
          <w:rFonts w:ascii="Times New Roman" w:hAnsi="Times New Roman"/>
        </w:rPr>
        <w:t>Zur Mandantin</w:t>
      </w:r>
    </w:p>
    <w:p>
      <w:pPr>
        <w:jc w:val="left"/>
      </w:pPr>
      <w:r>
        <w:t xml:space="preserve">Die </w:t>
      </w:r>
      <w:r>
        <w:rPr>
          <w:b/>
        </w:rPr>
        <w:t>Saalbau Wendelstein gGmbH</w:t>
      </w:r>
      <w:r>
        <w:t xml:space="preserve"> ist eine gemeinnützige Gesellschaft mit beschränkter Haftung mit Sitz in Rosenheim. Gesellschaftszweck ist der Betrieb von Kulturveranstaltungsstätten, insbesondere des Kulturhauses Wendelstein und des dortigen Konzertsaals. Die Gesellschaft trägt mehrere kommunalnahe Veranstaltungsräume in der Region Rosenheim und versteht sich als gemeinnützige Trägerin des kommunalen Kulturlebens. Alleinige Gesellschafterin ist die Stadt Rosenheim; Geschäftsführerin ist Monika Ehrhardt-Vogler (seit 2019).</w:t>
      </w:r>
    </w:p>
    <w:p>
      <w:pPr>
        <w:jc w:val="left"/>
      </w:pPr>
      <w:r>
        <w:t>Die gGmbH beschäftigt derzeit 34 Mitarbeiter (Festangestellte und geringfügig Beschäftigte). Jahresumsatz (2024): ca. 1,87 Mio. EUR (überwiegend aus Veranstaltungseinnahmen, Raumvermietungen und städtischen Zuschüssen).</w:t>
      </w:r>
    </w:p>
    <w:p/>
    <w:p>
      <w:pPr>
        <w:pStyle w:val="Heading3"/>
      </w:pPr>
      <w:r>
        <w:rPr>
          <w:rFonts w:ascii="Times New Roman" w:hAnsi="Times New Roman"/>
        </w:rPr>
        <w:t>Zum Bauvorhaben</w:t>
      </w:r>
    </w:p>
    <w:p>
      <w:pPr>
        <w:jc w:val="left"/>
      </w:pPr>
      <w:r>
        <w:t>Im Jahr 2023 fasste die Saalbau Wendelstein gGmbH den Beschluss zur Erweiterung ihres Hauptstandorts an der Wittelsbacherstraße 102, 83022 Rosenheim. Geplant war:</w:t>
      </w:r>
    </w:p>
    <w:p>
      <w:pPr>
        <w:pStyle w:val="ListBullet"/>
      </w:pPr>
      <w:r>
        <w:rPr>
          <w:b/>
        </w:rPr>
        <w:t>Neubau Probesaal</w:t>
      </w:r>
      <w:r>
        <w:t xml:space="preserve"> (ca. 420 m² BGF, eingeschossig, gedämmtes Massivdach, Holz-Akustikpaneele)</w:t>
      </w:r>
    </w:p>
    <w:p>
      <w:pPr>
        <w:pStyle w:val="ListBullet"/>
      </w:pPr>
      <w:r>
        <w:rPr>
          <w:b/>
        </w:rPr>
        <w:t>Neubau Werkstätten</w:t>
      </w:r>
      <w:r>
        <w:t xml:space="preserve"> (ca. 580 m² BGF, zweigeschossig, Erdgeschoss Metallwerkstatt/Bühnentechnik, OG Kostümwerkstatt)</w:t>
      </w:r>
    </w:p>
    <w:p>
      <w:pPr>
        <w:pStyle w:val="ListBullet"/>
      </w:pPr>
      <w:r>
        <w:rPr>
          <w:b/>
        </w:rPr>
        <w:t>Neubau Lagerhalle</w:t>
      </w:r>
      <w:r>
        <w:t xml:space="preserve"> (ca. 810 m² BGF, eingeschossig, Stahlbinder-Tragwerk, Tor-Zufahrt)</w:t>
      </w:r>
    </w:p>
    <w:p>
      <w:pPr>
        <w:jc w:val="left"/>
      </w:pPr>
      <w:r>
        <w:t xml:space="preserve">Das Baugrundstück ist das frühere Areal der </w:t>
      </w:r>
      <w:r>
        <w:rPr>
          <w:b/>
        </w:rPr>
        <w:t>Drahtspinnerei Steinhauser GmbH &amp; Co. KG</w:t>
      </w:r>
      <w:r>
        <w:t>, die an diesem Standort von 1907 bis 1986 betrieben worden war. Die Liegenschaft wurde 1993 von der Stadt Rosenheim erworben und 2022 im Wege einer Erbbaurechtsvergabe an die Saalbau Wendelstein gGmbH für 99 Jahre übertragen. Der Kaufpreis (Einmalzahlung für Erbbaurecht) betrug 1,48 Mio. EUR.</w:t>
      </w:r>
    </w:p>
    <w:p/>
    <w:p>
      <w:pPr>
        <w:pStyle w:val="Heading3"/>
      </w:pPr>
      <w:r>
        <w:rPr>
          <w:rFonts w:ascii="Times New Roman" w:hAnsi="Times New Roman"/>
        </w:rPr>
        <w:t>Vertragspartner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Rolle</w:t>
            </w:r>
          </w:p>
        </w:tc>
        <w:tc>
          <w:tcPr>
            <w:tcW w:type="dxa" w:w="3024"/>
          </w:tcPr>
          <w:p>
            <w:r>
              <w:rPr>
                <w:rFonts w:ascii="Times New Roman" w:hAnsi="Times New Roman"/>
                <w:b/>
                <w:sz w:val="20"/>
              </w:rPr>
              <w:t>Unternehmen / Person</w:t>
            </w:r>
          </w:p>
        </w:tc>
        <w:tc>
          <w:tcPr>
            <w:tcW w:type="dxa" w:w="3024"/>
          </w:tcPr>
          <w:p>
            <w:r>
              <w:rPr>
                <w:rFonts w:ascii="Times New Roman" w:hAnsi="Times New Roman"/>
                <w:b/>
                <w:sz w:val="20"/>
              </w:rPr>
              <w:t>Vertragsabschluss</w:t>
            </w:r>
          </w:p>
        </w:tc>
      </w:tr>
      <w:tr>
        <w:tc>
          <w:tcPr>
            <w:tcW w:type="dxa" w:w="3024"/>
          </w:tcPr>
          <w:p>
            <w:r>
              <w:rPr>
                <w:rFonts w:ascii="Times New Roman" w:hAnsi="Times New Roman"/>
                <w:sz w:val="20"/>
              </w:rPr>
              <w:t>Generalunternehmer</w:t>
            </w:r>
          </w:p>
        </w:tc>
        <w:tc>
          <w:tcPr>
            <w:tcW w:type="dxa" w:w="3024"/>
          </w:tcPr>
          <w:p>
            <w:r>
              <w:rPr>
                <w:rFonts w:ascii="Times New Roman" w:hAnsi="Times New Roman"/>
                <w:sz w:val="20"/>
              </w:rPr>
              <w:t>Bauer-Hoch GmbH &amp; Co. KG, Traunsteiner Straße 88, 83278 Traunstein</w:t>
            </w:r>
          </w:p>
        </w:tc>
        <w:tc>
          <w:tcPr>
            <w:tcW w:type="dxa" w:w="3024"/>
          </w:tcPr>
          <w:p>
            <w:r>
              <w:rPr>
                <w:rFonts w:ascii="Times New Roman" w:hAnsi="Times New Roman"/>
                <w:sz w:val="20"/>
              </w:rPr>
              <w:t>12.07.2023</w:t>
            </w:r>
          </w:p>
        </w:tc>
      </w:tr>
      <w:tr>
        <w:tc>
          <w:tcPr>
            <w:tcW w:type="dxa" w:w="3024"/>
          </w:tcPr>
          <w:p>
            <w:r>
              <w:rPr>
                <w:rFonts w:ascii="Times New Roman" w:hAnsi="Times New Roman"/>
                <w:sz w:val="20"/>
              </w:rPr>
              <w:t>Generalunternehmervertrag</w:t>
            </w:r>
          </w:p>
        </w:tc>
        <w:tc>
          <w:tcPr>
            <w:tcW w:type="dxa" w:w="3024"/>
          </w:tcPr>
          <w:p>
            <w:r>
              <w:rPr>
                <w:rFonts w:ascii="Times New Roman" w:hAnsi="Times New Roman"/>
                <w:sz w:val="20"/>
              </w:rPr>
              <w:t>VOB/B-Einheitsbauvertrag, Pauschalpreis 4.280.000 EUR netto</w:t>
            </w:r>
          </w:p>
        </w:tc>
        <w:tc>
          <w:tcPr>
            <w:tcW w:type="dxa" w:w="3024"/>
          </w:tcPr>
          <w:p>
            <w:r>
              <w:rPr>
                <w:rFonts w:ascii="Times New Roman" w:hAnsi="Times New Roman"/>
                <w:sz w:val="20"/>
              </w:rPr>
              <w:t>—</w:t>
            </w:r>
          </w:p>
        </w:tc>
      </w:tr>
      <w:tr>
        <w:tc>
          <w:tcPr>
            <w:tcW w:type="dxa" w:w="3024"/>
          </w:tcPr>
          <w:p>
            <w:r>
              <w:rPr>
                <w:rFonts w:ascii="Times New Roman" w:hAnsi="Times New Roman"/>
                <w:sz w:val="20"/>
              </w:rPr>
              <w:t>Architekturbüro</w:t>
            </w:r>
          </w:p>
        </w:tc>
        <w:tc>
          <w:tcPr>
            <w:tcW w:type="dxa" w:w="3024"/>
          </w:tcPr>
          <w:p>
            <w:r>
              <w:rPr>
                <w:rFonts w:ascii="Times New Roman" w:hAnsi="Times New Roman"/>
                <w:sz w:val="20"/>
              </w:rPr>
              <w:t>Maierhoffer + Streibl Architekten BDA, Maximilianstraße 44, 80538 München</w:t>
            </w:r>
          </w:p>
        </w:tc>
        <w:tc>
          <w:tcPr>
            <w:tcW w:type="dxa" w:w="3024"/>
          </w:tcPr>
          <w:p>
            <w:r>
              <w:rPr>
                <w:rFonts w:ascii="Times New Roman" w:hAnsi="Times New Roman"/>
                <w:sz w:val="20"/>
              </w:rPr>
              <w:t>05.04.2023</w:t>
            </w:r>
          </w:p>
        </w:tc>
      </w:tr>
      <w:tr>
        <w:tc>
          <w:tcPr>
            <w:tcW w:type="dxa" w:w="3024"/>
          </w:tcPr>
          <w:p>
            <w:r>
              <w:rPr>
                <w:rFonts w:ascii="Times New Roman" w:hAnsi="Times New Roman"/>
                <w:sz w:val="20"/>
              </w:rPr>
              <w:t>Architektenvertrag</w:t>
            </w:r>
          </w:p>
        </w:tc>
        <w:tc>
          <w:tcPr>
            <w:tcW w:type="dxa" w:w="3024"/>
          </w:tcPr>
          <w:p>
            <w:r>
              <w:rPr>
                <w:rFonts w:ascii="Times New Roman" w:hAnsi="Times New Roman"/>
                <w:sz w:val="20"/>
              </w:rPr>
              <w:t>LPh 1–9, Honorarzone III, §§ 34 ff. HOAI 2021</w:t>
            </w:r>
          </w:p>
        </w:tc>
        <w:tc>
          <w:tcPr>
            <w:tcW w:type="dxa" w:w="3024"/>
          </w:tcPr>
          <w:p>
            <w:r>
              <w:rPr>
                <w:rFonts w:ascii="Times New Roman" w:hAnsi="Times New Roman"/>
                <w:sz w:val="20"/>
              </w:rPr>
              <w:t>—</w:t>
            </w:r>
          </w:p>
        </w:tc>
      </w:tr>
      <w:tr>
        <w:tc>
          <w:tcPr>
            <w:tcW w:type="dxa" w:w="3024"/>
          </w:tcPr>
          <w:p>
            <w:r>
              <w:rPr>
                <w:rFonts w:ascii="Times New Roman" w:hAnsi="Times New Roman"/>
                <w:sz w:val="20"/>
              </w:rPr>
              <w:t>Tragwerksplanung</w:t>
            </w:r>
          </w:p>
        </w:tc>
        <w:tc>
          <w:tcPr>
            <w:tcW w:type="dxa" w:w="3024"/>
          </w:tcPr>
          <w:p>
            <w:r>
              <w:rPr>
                <w:rFonts w:ascii="Times New Roman" w:hAnsi="Times New Roman"/>
                <w:sz w:val="20"/>
              </w:rPr>
              <w:t>Ingenieurbüro Dr. Eschelmann, Kolpingstraße 11, 83022 Rosenheim</w:t>
            </w:r>
          </w:p>
        </w:tc>
        <w:tc>
          <w:tcPr>
            <w:tcW w:type="dxa" w:w="3024"/>
          </w:tcPr>
          <w:p>
            <w:r>
              <w:rPr>
                <w:rFonts w:ascii="Times New Roman" w:hAnsi="Times New Roman"/>
                <w:sz w:val="20"/>
              </w:rPr>
              <w:t>20.05.2023</w:t>
            </w:r>
          </w:p>
        </w:tc>
      </w:tr>
      <w:tr>
        <w:tc>
          <w:tcPr>
            <w:tcW w:type="dxa" w:w="3024"/>
          </w:tcPr>
          <w:p>
            <w:r>
              <w:rPr>
                <w:rFonts w:ascii="Times New Roman" w:hAnsi="Times New Roman"/>
                <w:sz w:val="20"/>
              </w:rPr>
              <w:t>Sachverständiger (GU-seitig)</w:t>
            </w:r>
          </w:p>
        </w:tc>
        <w:tc>
          <w:tcPr>
            <w:tcW w:type="dxa" w:w="3024"/>
          </w:tcPr>
          <w:p>
            <w:r>
              <w:rPr>
                <w:rFonts w:ascii="Times New Roman" w:hAnsi="Times New Roman"/>
                <w:sz w:val="20"/>
              </w:rPr>
              <w:t>Dipl.-Ing. Anton Brandstetter, Rosenheim</w:t>
            </w:r>
          </w:p>
        </w:tc>
        <w:tc>
          <w:tcPr>
            <w:tcW w:type="dxa" w:w="3024"/>
          </w:tcPr>
          <w:p>
            <w:r>
              <w:rPr>
                <w:rFonts w:ascii="Times New Roman" w:hAnsi="Times New Roman"/>
                <w:sz w:val="20"/>
              </w:rPr>
              <w:t>auf Anforderung</w:t>
            </w:r>
          </w:p>
        </w:tc>
      </w:tr>
      <w:tr>
        <w:tc>
          <w:tcPr>
            <w:tcW w:type="dxa" w:w="3024"/>
          </w:tcPr>
          <w:p>
            <w:r>
              <w:rPr>
                <w:rFonts w:ascii="Times New Roman" w:hAnsi="Times New Roman"/>
                <w:sz w:val="20"/>
              </w:rPr>
              <w:t>Sachverständiger (Bauherr)</w:t>
            </w:r>
          </w:p>
        </w:tc>
        <w:tc>
          <w:tcPr>
            <w:tcW w:type="dxa" w:w="3024"/>
          </w:tcPr>
          <w:p>
            <w:r>
              <w:rPr>
                <w:rFonts w:ascii="Times New Roman" w:hAnsi="Times New Roman"/>
                <w:sz w:val="20"/>
              </w:rPr>
              <w:t>Dipl.-Ing. Helmut Riedhof, Sachverständigenbüro Riedhof, Am Kirchplatz 3, 83435 Bad Reichenhall</w:t>
            </w:r>
          </w:p>
        </w:tc>
        <w:tc>
          <w:tcPr>
            <w:tcW w:type="dxa" w:w="3024"/>
          </w:tcPr>
          <w:p>
            <w:r>
              <w:rPr>
                <w:rFonts w:ascii="Times New Roman" w:hAnsi="Times New Roman"/>
                <w:sz w:val="20"/>
              </w:rPr>
              <w:t>ab Februar 2026 beauftragt</w:t>
            </w:r>
          </w:p>
        </w:tc>
      </w:tr>
    </w:tbl>
    <w:p/>
    <w:p>
      <w:pPr>
        <w:pStyle w:val="Heading3"/>
      </w:pPr>
      <w:r>
        <w:rPr>
          <w:rFonts w:ascii="Times New Roman" w:hAnsi="Times New Roman"/>
        </w:rPr>
        <w:t>Chronologie der Ereignisse (Stand: Erstgespräch 18.03.2026)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05.04.2023</w:t>
            </w:r>
          </w:p>
        </w:tc>
        <w:tc>
          <w:tcPr>
            <w:tcW w:type="dxa" w:w="4536"/>
          </w:tcPr>
          <w:p>
            <w:r>
              <w:rPr>
                <w:rFonts w:ascii="Times New Roman" w:hAnsi="Times New Roman"/>
                <w:sz w:val="20"/>
              </w:rPr>
              <w:t>Architektenvertrag Maierhoffer + Streibl</w:t>
            </w:r>
          </w:p>
        </w:tc>
      </w:tr>
      <w:tr>
        <w:tc>
          <w:tcPr>
            <w:tcW w:type="dxa" w:w="4536"/>
          </w:tcPr>
          <w:p>
            <w:r>
              <w:rPr>
                <w:rFonts w:ascii="Times New Roman" w:hAnsi="Times New Roman"/>
                <w:sz w:val="20"/>
              </w:rPr>
              <w:t>12.07.2023</w:t>
            </w:r>
          </w:p>
        </w:tc>
        <w:tc>
          <w:tcPr>
            <w:tcW w:type="dxa" w:w="4536"/>
          </w:tcPr>
          <w:p>
            <w:r>
              <w:rPr>
                <w:rFonts w:ascii="Times New Roman" w:hAnsi="Times New Roman"/>
                <w:sz w:val="20"/>
              </w:rPr>
              <w:t>GU-Vertrag VOB/B mit Bauer-Hoch</w:t>
            </w:r>
          </w:p>
        </w:tc>
      </w:tr>
      <w:tr>
        <w:tc>
          <w:tcPr>
            <w:tcW w:type="dxa" w:w="4536"/>
          </w:tcPr>
          <w:p>
            <w:r>
              <w:rPr>
                <w:rFonts w:ascii="Times New Roman" w:hAnsi="Times New Roman"/>
                <w:sz w:val="20"/>
              </w:rPr>
              <w:t>15.09.2023</w:t>
            </w:r>
          </w:p>
        </w:tc>
        <w:tc>
          <w:tcPr>
            <w:tcW w:type="dxa" w:w="4536"/>
          </w:tcPr>
          <w:p>
            <w:r>
              <w:rPr>
                <w:rFonts w:ascii="Times New Roman" w:hAnsi="Times New Roman"/>
                <w:sz w:val="20"/>
              </w:rPr>
              <w:t>Baubeginn Phase 1 (Probesaal + Werkstätten)</w:t>
            </w:r>
          </w:p>
        </w:tc>
      </w:tr>
      <w:tr>
        <w:tc>
          <w:tcPr>
            <w:tcW w:type="dxa" w:w="4536"/>
          </w:tcPr>
          <w:p>
            <w:r>
              <w:rPr>
                <w:rFonts w:ascii="Times New Roman" w:hAnsi="Times New Roman"/>
                <w:sz w:val="20"/>
              </w:rPr>
              <w:t>28.01.2026</w:t>
            </w:r>
          </w:p>
        </w:tc>
        <w:tc>
          <w:tcPr>
            <w:tcW w:type="dxa" w:w="4536"/>
          </w:tcPr>
          <w:p>
            <w:r>
              <w:rPr>
                <w:rFonts w:ascii="Times New Roman" w:hAnsi="Times New Roman"/>
                <w:sz w:val="20"/>
              </w:rPr>
              <w:t>Baubeginn Phase 2 (Lagerhalle), Aushub; Bodenfund: Kontamination</w:t>
            </w:r>
          </w:p>
        </w:tc>
      </w:tr>
      <w:tr>
        <w:tc>
          <w:tcPr>
            <w:tcW w:type="dxa" w:w="4536"/>
          </w:tcPr>
          <w:p>
            <w:r>
              <w:rPr>
                <w:rFonts w:ascii="Times New Roman" w:hAnsi="Times New Roman"/>
                <w:sz w:val="20"/>
              </w:rPr>
              <w:t>30.01.2026</w:t>
            </w:r>
          </w:p>
        </w:tc>
        <w:tc>
          <w:tcPr>
            <w:tcW w:type="dxa" w:w="4536"/>
          </w:tcPr>
          <w:p>
            <w:r>
              <w:rPr>
                <w:rFonts w:ascii="Times New Roman" w:hAnsi="Times New Roman"/>
                <w:sz w:val="20"/>
              </w:rPr>
              <w:t>Aushubstopp, Benachrichtigung LRA Rosenheim Umweltamt durch Bauleitung</w:t>
            </w:r>
          </w:p>
        </w:tc>
      </w:tr>
      <w:tr>
        <w:tc>
          <w:tcPr>
            <w:tcW w:type="dxa" w:w="4536"/>
          </w:tcPr>
          <w:p>
            <w:r>
              <w:rPr>
                <w:rFonts w:ascii="Times New Roman" w:hAnsi="Times New Roman"/>
                <w:sz w:val="20"/>
              </w:rPr>
              <w:t>12.02.2026</w:t>
            </w:r>
          </w:p>
        </w:tc>
        <w:tc>
          <w:tcPr>
            <w:tcW w:type="dxa" w:w="4536"/>
          </w:tcPr>
          <w:p>
            <w:r>
              <w:rPr>
                <w:rFonts w:ascii="Times New Roman" w:hAnsi="Times New Roman"/>
                <w:sz w:val="20"/>
              </w:rPr>
              <w:t>Sanierungsanordnung LRA Rosenheim, Az. 33-Bo-2026-117</w:t>
            </w:r>
          </w:p>
        </w:tc>
      </w:tr>
      <w:tr>
        <w:tc>
          <w:tcPr>
            <w:tcW w:type="dxa" w:w="4536"/>
          </w:tcPr>
          <w:p>
            <w:r>
              <w:rPr>
                <w:rFonts w:ascii="Times New Roman" w:hAnsi="Times New Roman"/>
                <w:sz w:val="20"/>
              </w:rPr>
              <w:t>16.02.2026</w:t>
            </w:r>
          </w:p>
        </w:tc>
        <w:tc>
          <w:tcPr>
            <w:tcW w:type="dxa" w:w="4536"/>
          </w:tcPr>
          <w:p>
            <w:r>
              <w:rPr>
                <w:rFonts w:ascii="Times New Roman" w:hAnsi="Times New Roman"/>
                <w:sz w:val="20"/>
              </w:rPr>
              <w:t>Erste Risse in Bodenplatte Werkstattgebäude dokumentiert</w:t>
            </w:r>
          </w:p>
        </w:tc>
      </w:tr>
      <w:tr>
        <w:tc>
          <w:tcPr>
            <w:tcW w:type="dxa" w:w="4536"/>
          </w:tcPr>
          <w:p>
            <w:r>
              <w:rPr>
                <w:rFonts w:ascii="Times New Roman" w:hAnsi="Times New Roman"/>
                <w:sz w:val="20"/>
              </w:rPr>
              <w:t>20.02.2026</w:t>
            </w:r>
          </w:p>
        </w:tc>
        <w:tc>
          <w:tcPr>
            <w:tcW w:type="dxa" w:w="4536"/>
          </w:tcPr>
          <w:p>
            <w:r>
              <w:rPr>
                <w:rFonts w:ascii="Times New Roman" w:hAnsi="Times New Roman"/>
                <w:sz w:val="20"/>
              </w:rPr>
              <w:t>Sachverständiger Riedhof beauftragt durch Saalbau</w:t>
            </w:r>
          </w:p>
        </w:tc>
      </w:tr>
      <w:tr>
        <w:tc>
          <w:tcPr>
            <w:tcW w:type="dxa" w:w="4536"/>
          </w:tcPr>
          <w:p>
            <w:r>
              <w:rPr>
                <w:rFonts w:ascii="Times New Roman" w:hAnsi="Times New Roman"/>
                <w:sz w:val="20"/>
              </w:rPr>
              <w:t>07.03.2026</w:t>
            </w:r>
          </w:p>
        </w:tc>
        <w:tc>
          <w:tcPr>
            <w:tcW w:type="dxa" w:w="4536"/>
          </w:tcPr>
          <w:p>
            <w:r>
              <w:rPr>
                <w:rFonts w:ascii="Times New Roman" w:hAnsi="Times New Roman"/>
                <w:sz w:val="20"/>
              </w:rPr>
              <w:t>Mängelrüge Saalbau an Bauer-Hoch (erste, formlos)</w:t>
            </w:r>
          </w:p>
        </w:tc>
      </w:tr>
      <w:tr>
        <w:tc>
          <w:tcPr>
            <w:tcW w:type="dxa" w:w="4536"/>
          </w:tcPr>
          <w:p>
            <w:r>
              <w:rPr>
                <w:rFonts w:ascii="Times New Roman" w:hAnsi="Times New Roman"/>
                <w:sz w:val="20"/>
              </w:rPr>
              <w:t>14.04.2026</w:t>
            </w:r>
          </w:p>
        </w:tc>
        <w:tc>
          <w:tcPr>
            <w:tcW w:type="dxa" w:w="4536"/>
          </w:tcPr>
          <w:p>
            <w:r>
              <w:rPr>
                <w:rFonts w:ascii="Times New Roman" w:hAnsi="Times New Roman"/>
                <w:sz w:val="20"/>
              </w:rPr>
              <w:t>Übergabe Mängelliste 23 Positionen an Bauer-Hoch (formelle Rüge)</w:t>
            </w:r>
          </w:p>
        </w:tc>
      </w:tr>
      <w:tr>
        <w:tc>
          <w:tcPr>
            <w:tcW w:type="dxa" w:w="4536"/>
          </w:tcPr>
          <w:p>
            <w:r>
              <w:rPr>
                <w:rFonts w:ascii="Times New Roman" w:hAnsi="Times New Roman"/>
                <w:sz w:val="20"/>
              </w:rPr>
              <w:t>18.03.2026</w:t>
            </w:r>
          </w:p>
        </w:tc>
        <w:tc>
          <w:tcPr>
            <w:tcW w:type="dxa" w:w="4536"/>
          </w:tcPr>
          <w:p>
            <w:r>
              <w:rPr>
                <w:rFonts w:ascii="Times New Roman" w:hAnsi="Times New Roman"/>
                <w:sz w:val="20"/>
              </w:rPr>
              <w:t>Mandatsaufnahme bei Kanzlei Niedermair</w:t>
            </w:r>
          </w:p>
        </w:tc>
      </w:tr>
    </w:tbl>
    <w:p/>
    <w:p>
      <w:pPr>
        <w:pStyle w:val="Heading3"/>
      </w:pPr>
      <w:r>
        <w:rPr>
          <w:rFonts w:ascii="Times New Roman" w:hAnsi="Times New Roman"/>
        </w:rPr>
        <w:t>Schilderung durch Frau Ehrhardt-Vogler</w:t>
      </w:r>
    </w:p>
    <w:p>
      <w:pPr>
        <w:jc w:val="left"/>
      </w:pPr>
      <w:r>
        <w:t>Frau Ehrhardt-Vogler schildert, dass die Bauarbeiten der Phase 1 (Probesaal und Werkstätten) im Wesentlichen planmäßig vorangeschritten seien. Der Probesaal wurde bereits im Oktober 2025 fertiggestellt und in Betrieb genommen. Das Werkstattgebäude war weitgehend bezugsfertig, als im Februar 2026 erste Risse in der Bodenplatte sichtbar wurden. Technischer Projektleiter Vogt habe sofort reagiert und Sachverständigen Riedhof eingeschaltet.</w:t>
      </w:r>
    </w:p>
    <w:p>
      <w:pPr>
        <w:jc w:val="left"/>
      </w:pPr>
      <w:r>
        <w:t>Parallel dazu habe der Baubeginn der Lagerhalle eine Schockdiagnose ausgelöst: Bei den Erdarbeiten am 28.01.2026 seien mit bloßem Auge sichtbar gefärbte Böden, teilweise mit typisch cyanidischem Geruch, angetroffen worden. Die Bauleitung habe sofort den Aushub eingestellt und das LRA Rosenheim informiert. Das Umweltamt habe eine Sanierungsanordnung erlassen, die Bauarbeiten seien seit 11 Wochen unterbrochen.</w:t>
      </w:r>
    </w:p>
    <w:p>
      <w:pPr>
        <w:jc w:val="left"/>
      </w:pPr>
      <w:r>
        <w:t>Bauer-Hoch fordere nun Abnahme des Werkstattgebäudes und Probesaals mit dem Argument, die Risse seien kein Mangel, der die Abnahme hindere, und die Kontamination falle ausschließlich in die Risikosphäre der Bauherrin. Maierhoffer + Streibl habe zudem eine Honorarrechnung gestellt, die Frau Ehrhardt-Vogler nicht nachvollziehen könne.</w:t>
      </w:r>
    </w:p>
    <w:p/>
    <w:p>
      <w:pPr>
        <w:pStyle w:val="Heading3"/>
      </w:pPr>
      <w:r>
        <w:rPr>
          <w:rFonts w:ascii="Times New Roman" w:hAnsi="Times New Roman"/>
        </w:rPr>
        <w:t>Mandatsumfang (vereinbart)</w:t>
      </w:r>
    </w:p>
    <w:p>
      <w:pPr>
        <w:pStyle w:val="ListNumber"/>
      </w:pPr>
      <w:r>
        <w:t>Prüfung der Mängelansprüche gegen Bauer-Hoch (§§ 13, 4 VOB/B)</w:t>
      </w:r>
    </w:p>
    <w:p>
      <w:pPr>
        <w:pStyle w:val="ListNumber"/>
      </w:pPr>
      <w:r>
        <w:t>Rechtliche Begleitung der Abnahmeverweigerung / Mängelliste</w:t>
      </w:r>
    </w:p>
    <w:p>
      <w:pPr>
        <w:pStyle w:val="ListNumber"/>
      </w:pPr>
      <w:r>
        <w:t>Klärung Kostentragung Bodenkontamination (BBodSchG, Kaufvertrag, GU-Vertrag)</w:t>
      </w:r>
    </w:p>
    <w:p>
      <w:pPr>
        <w:pStyle w:val="ListNumber"/>
      </w:pPr>
      <w:r>
        <w:t>Überprüfung HOAI-Honoraranspruch Maierhoffer + Streibl</w:t>
      </w:r>
    </w:p>
    <w:p>
      <w:pPr>
        <w:pStyle w:val="ListNumber"/>
      </w:pPr>
      <w:r>
        <w:t>VOB-Schiedsgutachten-Verfahren begleiten</w:t>
      </w:r>
    </w:p>
    <w:p>
      <w:pPr>
        <w:pStyle w:val="ListNumber"/>
      </w:pPr>
      <w:r>
        <w:t>Bauablaufverzögerung / Entschädigungsansprüche</w:t>
      </w:r>
    </w:p>
    <w:p>
      <w:pPr>
        <w:pStyle w:val="ListNumber"/>
      </w:pPr>
      <w:r>
        <w:t>Selbstständiges Beweisverfahren (in Vorbereitung)</w:t>
      </w:r>
    </w:p>
    <w:p>
      <w:pPr>
        <w:pStyle w:val="ListNumber"/>
      </w:pPr>
      <w:r>
        <w:t>Klage LG Traunstein (vorbereiten)</w:t>
      </w:r>
    </w:p>
    <w:p>
      <w:pPr>
        <w:jc w:val="left"/>
      </w:pPr>
      <w:r>
        <w:rPr>
          <w:b/>
        </w:rPr>
        <w:t>Vergütungsvereinbarung:</w:t>
      </w:r>
      <w:r>
        <w:t xml:space="preserve"> Stundensatz 380 EUR netto zzgl. gesetzlicher Umsatzsteuer, monatliche Abrechnung, Vorschuss 8.500 EUR (eingegangen 20.03.2026).</w:t>
      </w:r>
    </w:p>
    <w:p>
      <w:pPr>
        <w:jc w:val="left"/>
      </w:pPr>
      <w:r>
        <w:rPr>
          <w:b/>
        </w:rPr>
        <w:t>Vollmacht:</w:t>
      </w:r>
      <w:r>
        <w:t xml:space="preserve"> erteilt und unterzeichnet am 18.03.2026.</w:t>
      </w:r>
    </w:p>
    <w:p/>
    <w:p>
      <w:pPr>
        <w:pStyle w:val="Heading3"/>
      </w:pPr>
      <w:r>
        <w:rPr>
          <w:rFonts w:ascii="Times New Roman" w:hAnsi="Times New Roman"/>
        </w:rPr>
        <w:t>Erste rechtliche Einschätzung (vorläufig)</w:t>
      </w:r>
    </w:p>
    <w:p>
      <w:pPr>
        <w:jc w:val="left"/>
      </w:pPr>
      <w:r>
        <w:t xml:space="preserve">Die geschilderte Rissbildung in der Bodenplatte nach nur 11 Monaten, verbunden mit dem Ausfall des Estrichheizungssystems und undichten Schächten, begründet prima facie einen </w:t>
      </w:r>
      <w:r>
        <w:rPr>
          <w:b/>
        </w:rPr>
        <w:t>Werkmangel</w:t>
      </w:r>
      <w:r>
        <w:t xml:space="preserve"> gemäß § 13 Abs. 1 VOB/B bzw. § 633 BGB. Die Mangelhaftigkeit hängt nicht davon ab, ob die Abnahme bereits erklärt wurde. Entscheidend ist, ob die vereinbarte Beschaffenheit (nach Leistungsverzeichnis, DIN 18202, DIN 18560) eingehalten wurde.</w:t>
      </w:r>
    </w:p>
    <w:p>
      <w:pPr>
        <w:jc w:val="left"/>
      </w:pPr>
      <w:r>
        <w:t>Die Kontaminationsfrage ist rechtlich zweischichtig: öffentlich-rechtlich (Sanierungspflicht nach §§ 4, 9 BBodSchG, Zurechnungsfrage) und privatrechtlich (wer trägt Mehrkosten gegenüber GU? Liegt ein Risikoausschluss im GU-Vertrag vor?).</w:t>
      </w:r>
    </w:p>
    <w:p>
      <w:pPr>
        <w:jc w:val="left"/>
      </w:pPr>
      <w:r>
        <w:t>Der HOAI-Streit ist vor dem Hintergrund von BGH BauR 2022, 1596 und EuGH, Urt. v. 04.07.2019 – C-377/17 zu würdigen; die Bindung an HOAI-Mindestsätze ist für Vertragsverhältnisse nach dem 18.07.2019 nicht mehr gegeben. Die Vertragsauslegung wird entscheidend sein.</w:t>
      </w:r>
    </w:p>
    <w:p/>
    <w:p>
      <w:pPr>
        <w:jc w:val="left"/>
      </w:pPr>
      <w:r>
        <w:rPr>
          <w:b/>
        </w:rPr>
        <w:t>Nächste Schritte:</w:t>
      </w:r>
    </w:p>
    <w:p>
      <w:pPr>
        <w:pStyle w:val="ListBullet"/>
      </w:pPr>
      <w:r>
        <w:t>Gutachten Riedhof anfordern (Entwurf liegt lt. Mandantin vor)</w:t>
      </w:r>
    </w:p>
    <w:p>
      <w:pPr>
        <w:pStyle w:val="ListBullet"/>
      </w:pPr>
      <w:r>
        <w:t>Sämtliche Vertragsunterlagen (GU-Vertrag, Architektenvertrag, LV, Pläne) anfordern</w:t>
      </w:r>
    </w:p>
    <w:p>
      <w:pPr>
        <w:pStyle w:val="ListBullet"/>
      </w:pPr>
      <w:r>
        <w:t>Kaufvertrag Erbbaurecht von der Stadt Rosenheim anfordern (Beschaffenheitsklauseln prüfen)</w:t>
      </w:r>
    </w:p>
    <w:p>
      <w:pPr>
        <w:pStyle w:val="ListBullet"/>
      </w:pPr>
      <w:r>
        <w:t>Mängelliste 14.04.2026 (vollständige Fassung) anfordern</w:t>
      </w:r>
    </w:p>
    <w:p>
      <w:pPr>
        <w:pStyle w:val="ListBullet"/>
      </w:pPr>
      <w:r>
        <w:t>Fristsetzung an Bauer-Hoch vorbereiten</w:t>
      </w:r>
    </w:p>
    <w:p>
      <w:pPr>
        <w:jc w:val="left"/>
      </w:pPr>
      <w:r>
        <w:rPr>
          <w:i/>
        </w:rPr>
        <w:t>Bearbeiterin: RAin Dr. Henriette Niedermair, 18.03.2026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Wendelstein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Saalbau Wendelstein gGmbH</w:t>
    </w:r>
  </w:p>
  <w:p>
    <w:pPr>
      <w:jc w:val="left"/>
      <w:pBdr>
        <w:bottom w:val="single" w:sz="6" w:space="2" w:color="1F3864"/>
      </w:pBdr>
    </w:pPr>
    <w:r>
      <w:rPr>
        <w:rFonts w:ascii="Times New Roman" w:hAnsi="Times New Roman"/>
        <w:color w:val="6B6B66"/>
        <w:sz w:val="16"/>
      </w:rPr>
      <w:t>vertreten durch Geschäftsführerin Monika Ehrhardt-Vogler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