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02 — Beteiligte, Vertragsstruktur und Grundstücksgeschichte</w:t>
      </w:r>
    </w:p>
    <w:p>
      <w:pPr>
        <w:jc w:val="left"/>
      </w:pPr>
      <w:r>
        <w:rPr>
          <w:b/>
        </w:rPr>
        <w:t>Kanzlei Niedermair Baurecht Rosenheim — AZ NB-2026-0318</w:t>
      </w:r>
    </w:p>
    <w:p/>
    <w:p>
      <w:pPr>
        <w:pStyle w:val="Heading2"/>
      </w:pPr>
      <w:r>
        <w:rPr>
          <w:rFonts w:ascii="Times New Roman" w:hAnsi="Times New Roman"/>
        </w:rPr>
        <w:t>A. Beteiligte</w:t>
      </w:r>
    </w:p>
    <w:p>
      <w:pPr>
        <w:pStyle w:val="Heading3"/>
      </w:pPr>
      <w:r>
        <w:rPr>
          <w:rFonts w:ascii="Times New Roman" w:hAnsi="Times New Roman"/>
        </w:rPr>
        <w:t>Bauherrin / Mandantin</w:t>
      </w:r>
    </w:p>
    <w:p>
      <w:pPr>
        <w:jc w:val="left"/>
      </w:pPr>
      <w:r>
        <w:rPr>
          <w:b/>
        </w:rPr>
        <w:t>Saalbau Wendelstein gGmbH</w:t>
      </w:r>
    </w:p>
    <w:p>
      <w:pPr>
        <w:jc w:val="left"/>
      </w:pPr>
      <w:r>
        <w:t>Wittelsbacherstraße 102, 83022 Rosenheim</w:t>
      </w:r>
    </w:p>
    <w:p>
      <w:pPr>
        <w:jc w:val="left"/>
      </w:pPr>
      <w:r>
        <w:t>HRB 14 887, Amtsgericht Rosenheim</w:t>
      </w:r>
    </w:p>
    <w:p>
      <w:pPr>
        <w:jc w:val="left"/>
      </w:pPr>
      <w:r>
        <w:t>Geschäftsführerin: Monika Ehrhardt-Vogler</w:t>
      </w:r>
    </w:p>
    <w:p>
      <w:pPr>
        <w:jc w:val="left"/>
      </w:pPr>
      <w:r>
        <w:t>Technischer Projektleiter: Stefan Vogt (Dipl.-Ing.)</w:t>
      </w:r>
    </w:p>
    <w:p>
      <w:pPr>
        <w:jc w:val="left"/>
      </w:pPr>
      <w:r>
        <w:t>Steuerberaterin: Kanzlei Mayr &amp; Weindl, Rosenheim</w:t>
      </w:r>
    </w:p>
    <w:p>
      <w:pPr>
        <w:jc w:val="left"/>
      </w:pPr>
      <w:r>
        <w:t>Gemeinnützigkeit: anerkannt durch FA Rosenheim, Freistellungsbescheid 2024</w:t>
      </w:r>
    </w:p>
    <w:p>
      <w:pPr>
        <w:jc w:val="left"/>
      </w:pPr>
      <w:r>
        <w:rPr>
          <w:b/>
        </w:rPr>
        <w:t>Gesellschafterin:</w:t>
      </w:r>
      <w:r>
        <w:t xml:space="preserve"> Stadt Rosenheim (100 %, städtische Beteiligung)</w:t>
      </w:r>
    </w:p>
    <w:p>
      <w:pPr>
        <w:jc w:val="left"/>
      </w:pPr>
      <w:r>
        <w:t>Stadtrat-Beschluss Erweiterungsbau: 14. November 2022 (einstimmig)</w:t>
      </w:r>
    </w:p>
    <w:p/>
    <w:p>
      <w:pPr>
        <w:pStyle w:val="Heading3"/>
      </w:pPr>
      <w:r>
        <w:rPr>
          <w:rFonts w:ascii="Times New Roman" w:hAnsi="Times New Roman"/>
        </w:rPr>
        <w:t>Generalunternehmer</w:t>
      </w:r>
    </w:p>
    <w:p>
      <w:pPr>
        <w:jc w:val="left"/>
      </w:pPr>
      <w:r>
        <w:rPr>
          <w:b/>
        </w:rPr>
        <w:t>Bauer-Hoch GmbH &amp; Co. KG</w:t>
      </w:r>
    </w:p>
    <w:p>
      <w:pPr>
        <w:jc w:val="left"/>
      </w:pPr>
      <w:r>
        <w:t>Traunsteiner Straße 88, 83278 Traunstein</w:t>
      </w:r>
    </w:p>
    <w:p>
      <w:pPr>
        <w:jc w:val="left"/>
      </w:pPr>
      <w:r>
        <w:t>HRA 7 341, Amtsgericht Traunstein</w:t>
      </w:r>
    </w:p>
    <w:p>
      <w:pPr>
        <w:jc w:val="left"/>
      </w:pPr>
      <w:r>
        <w:t>Komplementärin: Bauer-Hoch Verwaltungs-GmbH</w:t>
      </w:r>
    </w:p>
    <w:p>
      <w:pPr>
        <w:jc w:val="left"/>
      </w:pPr>
      <w:r>
        <w:t>Geschäftsführer: Wolfgang Bauer (Bauleitung) und Martin Hochmeister (kaufm.)</w:t>
      </w:r>
    </w:p>
    <w:p>
      <w:pPr>
        <w:jc w:val="left"/>
      </w:pPr>
      <w:r>
        <w:t>Bauleiter vor Ort: Dipl.-Ing. (FH) Klaus Wieshammer</w:t>
      </w:r>
    </w:p>
    <w:p>
      <w:pPr>
        <w:jc w:val="left"/>
      </w:pPr>
      <w:r>
        <w:t>Rechtsbeistand: Rechtsanwalt Konrad Strohmayer, Fachanwalt für Bau- und Architektenrecht, Traunstein</w:t>
      </w:r>
    </w:p>
    <w:p>
      <w:pPr>
        <w:jc w:val="left"/>
      </w:pPr>
      <w:r>
        <w:t>Vertragswerk: VOB/B-Einheitsbauvertrag vom 12. Juli 2023</w:t>
      </w:r>
    </w:p>
    <w:p>
      <w:pPr>
        <w:jc w:val="left"/>
      </w:pPr>
      <w:r>
        <w:t>Pauschalpreis: 4.280.000 EUR netto (5.093.200 EUR brutto)</w:t>
      </w:r>
    </w:p>
    <w:p>
      <w:pPr>
        <w:jc w:val="left"/>
      </w:pPr>
      <w:r>
        <w:t>Zahlungsstand (Stand 18.03.2026): 3.620.000 EUR netto abgerechnet, davon 3.450.000 EUR bezahlt; 170.000 EUR in Disputation.</w:t>
      </w:r>
    </w:p>
    <w:p/>
    <w:p>
      <w:pPr>
        <w:pStyle w:val="Heading3"/>
      </w:pPr>
      <w:r>
        <w:rPr>
          <w:rFonts w:ascii="Times New Roman" w:hAnsi="Times New Roman"/>
        </w:rPr>
        <w:t>Architekturbüro</w:t>
      </w:r>
    </w:p>
    <w:p>
      <w:pPr>
        <w:jc w:val="left"/>
      </w:pPr>
      <w:r>
        <w:rPr>
          <w:b/>
        </w:rPr>
        <w:t>Maierhoffer + Streibl Architekten BDA</w:t>
      </w:r>
    </w:p>
    <w:p>
      <w:pPr>
        <w:jc w:val="left"/>
      </w:pPr>
      <w:r>
        <w:t>Maximilianstraße 44, 80538 München</w:t>
      </w:r>
    </w:p>
    <w:p>
      <w:pPr>
        <w:jc w:val="left"/>
      </w:pPr>
      <w:r>
        <w:t>Partnerschaft: Dipl.-Ing. Josef Maierhoffer BDA (federführend) und Dr.-Ing. Renate Streibl BDA</w:t>
      </w:r>
    </w:p>
    <w:p>
      <w:pPr>
        <w:jc w:val="left"/>
      </w:pPr>
      <w:r>
        <w:t>PartGmbB eingetragen beim Amtsgericht München</w:t>
      </w:r>
    </w:p>
    <w:p>
      <w:pPr>
        <w:jc w:val="left"/>
      </w:pPr>
      <w:r>
        <w:t>Projektarchitektin: Simone Ecker M.Sc. Arch.</w:t>
      </w:r>
    </w:p>
    <w:p>
      <w:pPr>
        <w:jc w:val="left"/>
      </w:pPr>
      <w:r>
        <w:t>Architektenvertrag vom 05. April 2023:</w:t>
      </w:r>
    </w:p>
    <w:p>
      <w:pPr>
        <w:pStyle w:val="ListBullet"/>
      </w:pPr>
      <w:r>
        <w:t>Leistungsphasen 1–9 gemäß § 34 HOAI 2021</w:t>
      </w:r>
    </w:p>
    <w:p>
      <w:pPr>
        <w:pStyle w:val="ListBullet"/>
      </w:pPr>
      <w:r>
        <w:t>Honorarzone III; anrechenbare Kosten für die Berechnung gemäß § 36 HOAI 2021</w:t>
      </w:r>
    </w:p>
    <w:p>
      <w:pPr>
        <w:pStyle w:val="ListBullet"/>
      </w:pPr>
      <w:r>
        <w:t>Vereinbartes Pauschalhonorar: 485.000 EUR netto (Gesamtleistung LPh 1–9)</w:t>
      </w:r>
    </w:p>
    <w:p>
      <w:pPr>
        <w:pStyle w:val="ListBullet"/>
      </w:pPr>
      <w:r>
        <w:t>Davon bereits abgerechnet (LPh 1–7 abgeschlossen, LPh 8 lfd.): 412.000 EUR netto</w:t>
      </w:r>
    </w:p>
    <w:p>
      <w:pPr>
        <w:pStyle w:val="ListBullet"/>
      </w:pPr>
      <w:r>
        <w:t>Zahlung durch Mandantin: 380.000 EUR netto</w:t>
      </w:r>
    </w:p>
    <w:p>
      <w:pPr>
        <w:pStyle w:val="ListBullet"/>
      </w:pPr>
      <w:r>
        <w:t>Offener Streitbetrag: 32.000 EUR netto (Maierhoffer fordert Nachberechnung nach HOAI-Tabellenwerten)</w:t>
      </w:r>
    </w:p>
    <w:p/>
    <w:p>
      <w:pPr>
        <w:pStyle w:val="Heading3"/>
      </w:pPr>
      <w:r>
        <w:rPr>
          <w:rFonts w:ascii="Times New Roman" w:hAnsi="Times New Roman"/>
        </w:rPr>
        <w:t>Tragwerksplaner</w:t>
      </w:r>
    </w:p>
    <w:p>
      <w:pPr>
        <w:jc w:val="left"/>
      </w:pPr>
      <w:r>
        <w:rPr>
          <w:b/>
        </w:rPr>
        <w:t>Ingenieurbüro Dr. Eschelmann</w:t>
      </w:r>
    </w:p>
    <w:p>
      <w:pPr>
        <w:jc w:val="left"/>
      </w:pPr>
      <w:r>
        <w:t>Kolpingstraße 11, 83022 Rosenheim</w:t>
      </w:r>
    </w:p>
    <w:p>
      <w:pPr>
        <w:jc w:val="left"/>
      </w:pPr>
      <w:r>
        <w:t>Inhaber: Dr.-Ing. Christian Eschelmann</w:t>
      </w:r>
    </w:p>
    <w:p>
      <w:pPr>
        <w:jc w:val="left"/>
      </w:pPr>
      <w:r>
        <w:t>Auftrag: Leistungsphasen 1–6 Tragwerksplanung (§§ 49 ff. HOAI 2021)</w:t>
      </w:r>
    </w:p>
    <w:p>
      <w:pPr>
        <w:jc w:val="left"/>
      </w:pPr>
      <w:r>
        <w:t>Honorar vereinbart: 98.000 EUR netto (Pauschal)</w:t>
      </w:r>
    </w:p>
    <w:p>
      <w:pPr>
        <w:jc w:val="left"/>
      </w:pPr>
      <w:r>
        <w:t>Status: Abschlussrechnung gestellt, bezahlt; keine aktuellen Streitigkeiten</w:t>
      </w:r>
    </w:p>
    <w:p/>
    <w:p>
      <w:pPr>
        <w:pStyle w:val="Heading3"/>
      </w:pPr>
      <w:r>
        <w:rPr>
          <w:rFonts w:ascii="Times New Roman" w:hAnsi="Times New Roman"/>
        </w:rPr>
        <w:t>Sachverständige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Person</w:t>
            </w:r>
          </w:p>
        </w:tc>
        <w:tc>
          <w:tcPr>
            <w:tcW w:type="dxa" w:w="3024"/>
          </w:tcPr>
          <w:p>
            <w:r>
              <w:rPr>
                <w:rFonts w:ascii="Times New Roman" w:hAnsi="Times New Roman"/>
                <w:b/>
                <w:sz w:val="20"/>
              </w:rPr>
              <w:t>Funktion</w:t>
            </w:r>
          </w:p>
        </w:tc>
        <w:tc>
          <w:tcPr>
            <w:tcW w:type="dxa" w:w="3024"/>
          </w:tcPr>
          <w:p>
            <w:r>
              <w:rPr>
                <w:rFonts w:ascii="Times New Roman" w:hAnsi="Times New Roman"/>
                <w:b/>
                <w:sz w:val="20"/>
              </w:rPr>
              <w:t>Auftraggeber</w:t>
            </w:r>
          </w:p>
        </w:tc>
      </w:tr>
      <w:tr>
        <w:tc>
          <w:tcPr>
            <w:tcW w:type="dxa" w:w="3024"/>
          </w:tcPr>
          <w:p>
            <w:r>
              <w:rPr>
                <w:rFonts w:ascii="Times New Roman" w:hAnsi="Times New Roman"/>
                <w:sz w:val="20"/>
              </w:rPr>
              <w:t>Dipl.-Ing. Helmut Riedhof, Bad Reichenhall</w:t>
            </w:r>
          </w:p>
        </w:tc>
        <w:tc>
          <w:tcPr>
            <w:tcW w:type="dxa" w:w="3024"/>
          </w:tcPr>
          <w:p>
            <w:r>
              <w:rPr>
                <w:rFonts w:ascii="Times New Roman" w:hAnsi="Times New Roman"/>
                <w:sz w:val="20"/>
              </w:rPr>
              <w:t>SV für Schäden an Gebäuden, öffentlich bestellter und vereidigter SV</w:t>
            </w:r>
          </w:p>
        </w:tc>
        <w:tc>
          <w:tcPr>
            <w:tcW w:type="dxa" w:w="3024"/>
          </w:tcPr>
          <w:p>
            <w:r>
              <w:rPr>
                <w:rFonts w:ascii="Times New Roman" w:hAnsi="Times New Roman"/>
                <w:sz w:val="20"/>
              </w:rPr>
              <w:t>Saalbau (Privatgutachten)</w:t>
            </w:r>
          </w:p>
        </w:tc>
      </w:tr>
      <w:tr>
        <w:tc>
          <w:tcPr>
            <w:tcW w:type="dxa" w:w="3024"/>
          </w:tcPr>
          <w:p>
            <w:r>
              <w:rPr>
                <w:rFonts w:ascii="Times New Roman" w:hAnsi="Times New Roman"/>
                <w:sz w:val="20"/>
              </w:rPr>
              <w:t>Prof. Dr.-Ing. Manfred Seibold, TU München</w:t>
            </w:r>
          </w:p>
        </w:tc>
        <w:tc>
          <w:tcPr>
            <w:tcW w:type="dxa" w:w="3024"/>
          </w:tcPr>
          <w:p>
            <w:r>
              <w:rPr>
                <w:rFonts w:ascii="Times New Roman" w:hAnsi="Times New Roman"/>
                <w:sz w:val="20"/>
              </w:rPr>
              <w:t>SV selbstständiges Beweisverfahren (gerichtlich bestellt, beantragt)</w:t>
            </w:r>
          </w:p>
        </w:tc>
        <w:tc>
          <w:tcPr>
            <w:tcW w:type="dxa" w:w="3024"/>
          </w:tcPr>
          <w:p>
            <w:r>
              <w:rPr>
                <w:rFonts w:ascii="Times New Roman" w:hAnsi="Times New Roman"/>
                <w:sz w:val="20"/>
              </w:rPr>
              <w:t>Gericht / neutral</w:t>
            </w:r>
          </w:p>
        </w:tc>
      </w:tr>
      <w:tr>
        <w:tc>
          <w:tcPr>
            <w:tcW w:type="dxa" w:w="3024"/>
          </w:tcPr>
          <w:p>
            <w:r>
              <w:rPr>
                <w:rFonts w:ascii="Times New Roman" w:hAnsi="Times New Roman"/>
                <w:sz w:val="20"/>
              </w:rPr>
              <w:t>Dipl.-Ing. (FH) Rudolf Bachhuber, München</w:t>
            </w:r>
          </w:p>
        </w:tc>
        <w:tc>
          <w:tcPr>
            <w:tcW w:type="dxa" w:w="3024"/>
          </w:tcPr>
          <w:p>
            <w:r>
              <w:rPr>
                <w:rFonts w:ascii="Times New Roman" w:hAnsi="Times New Roman"/>
                <w:sz w:val="20"/>
              </w:rPr>
              <w:t>Kontaminationsuntersuchung Labor BayBoden GmbH</w:t>
            </w:r>
          </w:p>
        </w:tc>
        <w:tc>
          <w:tcPr>
            <w:tcW w:type="dxa" w:w="3024"/>
          </w:tcPr>
          <w:p>
            <w:r>
              <w:rPr>
                <w:rFonts w:ascii="Times New Roman" w:hAnsi="Times New Roman"/>
                <w:sz w:val="20"/>
              </w:rPr>
              <w:t>LRA Rosenheim / Bauer-Hoch</w:t>
            </w:r>
          </w:p>
        </w:tc>
      </w:tr>
    </w:tbl>
    <w:p/>
    <w:p>
      <w:pPr>
        <w:pStyle w:val="Heading3"/>
      </w:pPr>
      <w:r>
        <w:rPr>
          <w:rFonts w:ascii="Times New Roman" w:hAnsi="Times New Roman"/>
        </w:rPr>
        <w:t>Behörden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Behörde</w:t>
            </w:r>
          </w:p>
        </w:tc>
        <w:tc>
          <w:tcPr>
            <w:tcW w:type="dxa" w:w="3024"/>
          </w:tcPr>
          <w:p>
            <w:r>
              <w:rPr>
                <w:rFonts w:ascii="Times New Roman" w:hAnsi="Times New Roman"/>
                <w:b/>
                <w:sz w:val="20"/>
              </w:rPr>
              <w:t>Sachgebiet</w:t>
            </w:r>
          </w:p>
        </w:tc>
        <w:tc>
          <w:tcPr>
            <w:tcW w:type="dxa" w:w="3024"/>
          </w:tcPr>
          <w:p>
            <w:r>
              <w:rPr>
                <w:rFonts w:ascii="Times New Roman" w:hAnsi="Times New Roman"/>
                <w:b/>
                <w:sz w:val="20"/>
              </w:rPr>
              <w:t>Ansprechpartner</w:t>
            </w:r>
          </w:p>
        </w:tc>
      </w:tr>
      <w:tr>
        <w:tc>
          <w:tcPr>
            <w:tcW w:type="dxa" w:w="3024"/>
          </w:tcPr>
          <w:p>
            <w:r>
              <w:rPr>
                <w:rFonts w:ascii="Times New Roman" w:hAnsi="Times New Roman"/>
                <w:sz w:val="20"/>
              </w:rPr>
              <w:t>Landratsamt Rosenheim, Umweltamt</w:t>
            </w:r>
          </w:p>
        </w:tc>
        <w:tc>
          <w:tcPr>
            <w:tcW w:type="dxa" w:w="3024"/>
          </w:tcPr>
          <w:p>
            <w:r>
              <w:rPr>
                <w:rFonts w:ascii="Times New Roman" w:hAnsi="Times New Roman"/>
                <w:sz w:val="20"/>
              </w:rPr>
              <w:t>Altlasten, BBodSchG, Sanierungsanordnung Az. 33-Bo-2026-117</w:t>
            </w:r>
          </w:p>
        </w:tc>
        <w:tc>
          <w:tcPr>
            <w:tcW w:type="dxa" w:w="3024"/>
          </w:tcPr>
          <w:p>
            <w:r>
              <w:rPr>
                <w:rFonts w:ascii="Times New Roman" w:hAnsi="Times New Roman"/>
                <w:sz w:val="20"/>
              </w:rPr>
              <w:t>SB Franziska Wallner</w:t>
            </w:r>
          </w:p>
        </w:tc>
      </w:tr>
      <w:tr>
        <w:tc>
          <w:tcPr>
            <w:tcW w:type="dxa" w:w="3024"/>
          </w:tcPr>
          <w:p>
            <w:r>
              <w:rPr>
                <w:rFonts w:ascii="Times New Roman" w:hAnsi="Times New Roman"/>
                <w:sz w:val="20"/>
              </w:rPr>
              <w:t>Landratsamt Rosenheim, Baurecht</w:t>
            </w:r>
          </w:p>
        </w:tc>
        <w:tc>
          <w:tcPr>
            <w:tcW w:type="dxa" w:w="3024"/>
          </w:tcPr>
          <w:p>
            <w:r>
              <w:rPr>
                <w:rFonts w:ascii="Times New Roman" w:hAnsi="Times New Roman"/>
                <w:sz w:val="20"/>
              </w:rPr>
              <w:t>Baugenehmigung (erteilt 22.05.2023)</w:t>
            </w:r>
          </w:p>
        </w:tc>
        <w:tc>
          <w:tcPr>
            <w:tcW w:type="dxa" w:w="3024"/>
          </w:tcPr>
          <w:p>
            <w:r>
              <w:rPr>
                <w:rFonts w:ascii="Times New Roman" w:hAnsi="Times New Roman"/>
                <w:sz w:val="20"/>
              </w:rPr>
              <w:t>SB Herbert Draxler</w:t>
            </w:r>
          </w:p>
        </w:tc>
      </w:tr>
      <w:tr>
        <w:tc>
          <w:tcPr>
            <w:tcW w:type="dxa" w:w="3024"/>
          </w:tcPr>
          <w:p>
            <w:r>
              <w:rPr>
                <w:rFonts w:ascii="Times New Roman" w:hAnsi="Times New Roman"/>
                <w:sz w:val="20"/>
              </w:rPr>
              <w:t>Stadt Rosenheim, Liegenschaftsamt</w:t>
            </w:r>
          </w:p>
        </w:tc>
        <w:tc>
          <w:tcPr>
            <w:tcW w:type="dxa" w:w="3024"/>
          </w:tcPr>
          <w:p>
            <w:r>
              <w:rPr>
                <w:rFonts w:ascii="Times New Roman" w:hAnsi="Times New Roman"/>
                <w:sz w:val="20"/>
              </w:rPr>
              <w:t>Erbbaurechtsvergabe, Verkäuferin Grundstück</w:t>
            </w:r>
          </w:p>
        </w:tc>
        <w:tc>
          <w:tcPr>
            <w:tcW w:type="dxa" w:w="3024"/>
          </w:tcPr>
          <w:p>
            <w:r>
              <w:rPr>
                <w:rFonts w:ascii="Times New Roman" w:hAnsi="Times New Roman"/>
                <w:sz w:val="20"/>
              </w:rPr>
              <w:t>Amtsleiter Dr. Peter Leitl</w:t>
            </w:r>
          </w:p>
        </w:tc>
      </w:tr>
    </w:tbl>
    <w:p/>
    <w:p>
      <w:pPr>
        <w:pStyle w:val="Heading2"/>
      </w:pPr>
      <w:r>
        <w:rPr>
          <w:rFonts w:ascii="Times New Roman" w:hAnsi="Times New Roman"/>
        </w:rPr>
        <w:t>B. Vertragsstruktur</w:t>
      </w:r>
    </w:p>
    <w:p>
      <w:pPr>
        <w:jc w:val="left"/>
      </w:pPr>
      <w:r>
        <w:t>```</w:t>
      </w:r>
    </w:p>
    <w:p>
      <w:pPr>
        <w:jc w:val="left"/>
      </w:pPr>
      <w:r>
        <w:t>Saalbau Wendelstein gGmbH (Bauherrin)</w:t>
      </w:r>
    </w:p>
    <w:p>
      <w:pPr>
        <w:jc w:val="left"/>
      </w:pPr>
      <w:r>
        <w:t>│</w:t>
      </w:r>
    </w:p>
    <w:p>
      <w:pPr>
        <w:jc w:val="left"/>
      </w:pPr>
      <w:r>
        <w:t>├──► Maierhoffer + Streibl Architekten BDA</w:t>
      </w:r>
    </w:p>
    <w:p>
      <w:pPr>
        <w:jc w:val="left"/>
      </w:pPr>
      <w:r>
        <w:t>│    LPh 1–9 (Architektenvertrag 05.04.2023)</w:t>
      </w:r>
    </w:p>
    <w:p>
      <w:pPr>
        <w:jc w:val="left"/>
      </w:pPr>
      <w:r>
        <w:t>│    → Unterverhältnis: IBr Dr. Eschelmann (Tragwerk)</w:t>
      </w:r>
    </w:p>
    <w:p>
      <w:pPr>
        <w:jc w:val="left"/>
      </w:pPr>
      <w:r>
        <w:t>│</w:t>
      </w:r>
    </w:p>
    <w:p>
      <w:pPr>
        <w:jc w:val="left"/>
      </w:pPr>
      <w:r>
        <w:t>└──► Bauer-Hoch GmbH &amp; Co. KG (GU-Vertrag VOB/B 12.07.2023)</w:t>
      </w:r>
    </w:p>
    <w:p>
      <w:pPr>
        <w:jc w:val="left"/>
      </w:pPr>
      <w:r>
        <w:t>│</w:t>
      </w:r>
    </w:p>
    <w:p>
      <w:pPr>
        <w:jc w:val="left"/>
      </w:pPr>
      <w:r>
        <w:t>├── Rohbau/Betonarbeiten: Egger Betonbau GmbH, Prien a. Chiemsee (NK)</w:t>
      </w:r>
    </w:p>
    <w:p>
      <w:pPr>
        <w:jc w:val="left"/>
      </w:pPr>
      <w:r>
        <w:t>├── Estrich/Heizestrich: Rinner Estrichbau GmbH, Wasserburg (NK)</w:t>
      </w:r>
    </w:p>
    <w:p>
      <w:pPr>
        <w:jc w:val="left"/>
      </w:pPr>
      <w:r>
        <w:t>├── Abdichtung/Schächte: König Abdichtung GmbH, Rosenheim (NK)</w:t>
      </w:r>
    </w:p>
    <w:p>
      <w:pPr>
        <w:jc w:val="left"/>
      </w:pPr>
      <w:r>
        <w:t>└── Erdarbeiten/Aushub: Holzner Tiefbau KG, Rosenheim (NK)</w:t>
      </w:r>
    </w:p>
    <w:p>
      <w:pPr>
        <w:jc w:val="left"/>
      </w:pPr>
      <w:r>
        <w:t>```</w:t>
      </w:r>
    </w:p>
    <w:p>
      <w:pPr>
        <w:jc w:val="left"/>
      </w:pPr>
      <w:r>
        <w:rPr>
          <w:b/>
        </w:rPr>
        <w:t>Wichtig:</w:t>
      </w:r>
      <w:r>
        <w:t xml:space="preserve"> Die Saalbau Wendelstein gGmbH hat mit den Nachunternehmern (NK) keine eigene vertragliche Beziehung. Sämtliche Ansprüche gegen Nachunternehmer laufen über Bauer-Hoch als GU.</w:t>
      </w:r>
    </w:p>
    <w:p/>
    <w:p>
      <w:pPr>
        <w:pStyle w:val="Heading2"/>
      </w:pPr>
      <w:r>
        <w:rPr>
          <w:rFonts w:ascii="Times New Roman" w:hAnsi="Times New Roman"/>
        </w:rPr>
        <w:t>C. Grundstücksgeschichte — Drahtspinnerei Steinhauser</w:t>
      </w:r>
    </w:p>
    <w:p>
      <w:pPr>
        <w:pStyle w:val="Heading3"/>
      </w:pPr>
      <w:r>
        <w:rPr>
          <w:rFonts w:ascii="Times New Roman" w:hAnsi="Times New Roman"/>
        </w:rPr>
        <w:t>Industriehistorie</w:t>
      </w:r>
    </w:p>
    <w:p>
      <w:pPr>
        <w:jc w:val="left"/>
      </w:pPr>
      <w:r>
        <w:t xml:space="preserve">Die </w:t>
      </w:r>
      <w:r>
        <w:rPr>
          <w:b/>
        </w:rPr>
        <w:t>Drahtspinnerei Steinhauser GmbH &amp; Co. KG</w:t>
      </w:r>
      <w:r>
        <w:t xml:space="preserve"> betrieb von 1907 bis 1986 auf dem Areal Wittelsbacherstraße 102–110, Rosenheim, eine Drahtspinnerei und Metallverarbeitung. Der Betrieb umfasste:</w:t>
      </w:r>
    </w:p>
    <w:p>
      <w:pPr>
        <w:pStyle w:val="ListBullet"/>
      </w:pPr>
      <w:r>
        <w:t>Kupferzieherei und Kupferdrahtherstellung</w:t>
      </w:r>
    </w:p>
    <w:p>
      <w:pPr>
        <w:pStyle w:val="ListBullet"/>
      </w:pPr>
      <w:r>
        <w:t>Nickel- und Zinkgalvanik (bis ca. 1970)</w:t>
      </w:r>
    </w:p>
    <w:p>
      <w:pPr>
        <w:pStyle w:val="ListBullet"/>
      </w:pPr>
      <w:r>
        <w:t>Lackiererei und Schmiermittelverwendung (PAK-Quellen)</w:t>
      </w:r>
    </w:p>
    <w:p>
      <w:pPr>
        <w:pStyle w:val="ListBullet"/>
      </w:pPr>
      <w:r>
        <w:t>Cyanid-Härtebäder (Metallverarbeitung, bis Betriebsende 1986)</w:t>
      </w:r>
    </w:p>
    <w:p>
      <w:pPr>
        <w:jc w:val="left"/>
      </w:pPr>
      <w:r>
        <w:t xml:space="preserve">Der Betrieb wurde 1986 eingestellt; die Gebäude wurden 1988–1991 abgerissen. Die Stadtvermarktung des Grundstücks erfolgte 1993. Im Altlastenkataster des Landkreises Rosenheim war das Grundstück als </w:t>
      </w:r>
      <w:r>
        <w:rPr>
          <w:b/>
        </w:rPr>
        <w:t>Altlastenverdachtsfläche Kat. B</w:t>
      </w:r>
      <w:r>
        <w:t xml:space="preserve"> (Nachsorge/Monitoring) eingetragen — nicht als Sanierungsfall.</w:t>
      </w:r>
    </w:p>
    <w:p>
      <w:pPr>
        <w:pStyle w:val="Heading3"/>
      </w:pPr>
      <w:r>
        <w:rPr>
          <w:rFonts w:ascii="Times New Roman" w:hAnsi="Times New Roman"/>
        </w:rPr>
        <w:t>Kaufvertrag 2022 (Erbbaurecht)</w:t>
      </w:r>
    </w:p>
    <w:p>
      <w:pPr>
        <w:jc w:val="left"/>
      </w:pPr>
      <w:r>
        <w:t>Der Erbbaurechtsvergabevertrag zwischen der Stadt Rosenheim und der Saalbau Wendelstein gGmbH vom 14. März 2022 (Notar Weinberger, Rosenheim, UR-Nr. 312/2022) enthält folgende relevante Klauseln:</w:t>
      </w:r>
    </w:p>
    <w:p>
      <w:pPr>
        <w:jc w:val="left"/>
      </w:pPr>
      <w:r>
        <w:rPr>
          <w:b/>
        </w:rPr>
        <w:t>§ 4 Beschaffenheitsvereinbarung:</w:t>
      </w:r>
    </w:p>
    <w:p>
      <w:pPr>
        <w:ind w:left="567"/>
      </w:pPr>
      <w:r>
        <w:rPr>
          <w:i/>
        </w:rPr>
        <w:t>„Das Grundstück wird verkauft, wie es liegt und steht. Der Verkäufer sichert zu, dass das Grundstück nach den derzeit vorliegenden Erkenntnissen bebaubar ist und keine Eintragung als Sanierungsfall im Sinne des BBodSchG vorliegt."</w:t>
      </w:r>
    </w:p>
    <w:p>
      <w:pPr>
        <w:jc w:val="left"/>
      </w:pPr>
      <w:r>
        <w:rPr>
          <w:b/>
        </w:rPr>
        <w:t>§ 5 Altlastenklausel:</w:t>
      </w:r>
      <w:r>
        <w:t xml:space="preserve"> </w:t>
      </w:r>
      <w:r>
        <w:rPr>
          <w:i/>
        </w:rPr>
        <w:t>Fehlt vollständig.</w:t>
      </w:r>
      <w:r>
        <w:t xml:space="preserve"> Im Vertrag findet sich weder ein Gewährleistungsausschluss für Altlasten noch eine ausdrückliche Übernahme der Sanierungsverantwortung durch den Erwerber.</w:t>
      </w:r>
    </w:p>
    <w:p>
      <w:pPr>
        <w:jc w:val="left"/>
      </w:pPr>
      <w:r>
        <w:rPr>
          <w:b/>
        </w:rPr>
        <w:t>§ 8 Gewährleistungsausschluss:</w:t>
      </w:r>
      <w:r>
        <w:t xml:space="preserve"> Standardmäßiger Ausschluss der Sachmängelhaftung des Veräußerers für Baumängel (auf das Gebäude bezogen), nicht auf Bodenbeschaffenheit.</w:t>
      </w:r>
    </w:p>
    <w:p>
      <w:pPr>
        <w:pStyle w:val="Heading3"/>
      </w:pPr>
      <w:r>
        <w:rPr>
          <w:rFonts w:ascii="Times New Roman" w:hAnsi="Times New Roman"/>
        </w:rPr>
        <w:t>Rechtliche Relevanz</w:t>
      </w:r>
    </w:p>
    <w:p>
      <w:pPr>
        <w:jc w:val="left"/>
      </w:pPr>
      <w:r>
        <w:t>Das Fehlen einer Altlastenklausel und die Beschaffenheitszusicherung in § 4 können bedeuten, dass die Stadt Rosenheim als Veräußerin für Folgekosten der Altlasten miteinstehen muss (§§ 433 Abs. 1, 434 Abs. 1 BGB analog Erbbaurecht, ggf. c.i.c.). Die Saalbau Wendelstein gGmbH kann daher Schadensersatz gegenüber der Stadt Rosenheim fordern. Dies ist separat zu führen von der Kostenfrage im Verhältnis Bauherrin/GU.</w:t>
      </w:r>
    </w:p>
    <w:p/>
    <w:p>
      <w:pPr>
        <w:pStyle w:val="Heading2"/>
      </w:pPr>
      <w:r>
        <w:rPr>
          <w:rFonts w:ascii="Times New Roman" w:hAnsi="Times New Roman"/>
        </w:rPr>
        <w:t>D. Relevante Normen (Übersicht)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Rechtsgebiet</w:t>
            </w:r>
          </w:p>
        </w:tc>
        <w:tc>
          <w:tcPr>
            <w:tcW w:type="dxa" w:w="4536"/>
          </w:tcPr>
          <w:p>
            <w:r>
              <w:rPr>
                <w:rFonts w:ascii="Times New Roman" w:hAnsi="Times New Roman"/>
                <w:b/>
                <w:sz w:val="20"/>
              </w:rPr>
              <w:t>Normen</w:t>
            </w:r>
          </w:p>
        </w:tc>
      </w:tr>
      <w:tr>
        <w:tc>
          <w:tcPr>
            <w:tcW w:type="dxa" w:w="4536"/>
          </w:tcPr>
          <w:p>
            <w:r>
              <w:rPr>
                <w:rFonts w:ascii="Times New Roman" w:hAnsi="Times New Roman"/>
                <w:sz w:val="20"/>
              </w:rPr>
              <w:t>Werkvertragsrecht</w:t>
            </w:r>
          </w:p>
        </w:tc>
        <w:tc>
          <w:tcPr>
            <w:tcW w:type="dxa" w:w="4536"/>
          </w:tcPr>
          <w:p>
            <w:r>
              <w:rPr>
                <w:rFonts w:ascii="Times New Roman" w:hAnsi="Times New Roman"/>
                <w:sz w:val="20"/>
              </w:rPr>
              <w:t>§§ 631 ff. BGB; VOB/B §§ 4, 12, 13, 16</w:t>
            </w:r>
          </w:p>
        </w:tc>
      </w:tr>
      <w:tr>
        <w:tc>
          <w:tcPr>
            <w:tcW w:type="dxa" w:w="4536"/>
          </w:tcPr>
          <w:p>
            <w:r>
              <w:rPr>
                <w:rFonts w:ascii="Times New Roman" w:hAnsi="Times New Roman"/>
                <w:sz w:val="20"/>
              </w:rPr>
              <w:t>Abnahme</w:t>
            </w:r>
          </w:p>
        </w:tc>
        <w:tc>
          <w:tcPr>
            <w:tcW w:type="dxa" w:w="4536"/>
          </w:tcPr>
          <w:p>
            <w:r>
              <w:rPr>
                <w:rFonts w:ascii="Times New Roman" w:hAnsi="Times New Roman"/>
                <w:sz w:val="20"/>
              </w:rPr>
              <w:t>§ 640 BGB; § 12 VOB/B</w:t>
            </w:r>
          </w:p>
        </w:tc>
      </w:tr>
      <w:tr>
        <w:tc>
          <w:tcPr>
            <w:tcW w:type="dxa" w:w="4536"/>
          </w:tcPr>
          <w:p>
            <w:r>
              <w:rPr>
                <w:rFonts w:ascii="Times New Roman" w:hAnsi="Times New Roman"/>
                <w:sz w:val="20"/>
              </w:rPr>
              <w:t>Mängelhaftung</w:t>
            </w:r>
          </w:p>
        </w:tc>
        <w:tc>
          <w:tcPr>
            <w:tcW w:type="dxa" w:w="4536"/>
          </w:tcPr>
          <w:p>
            <w:r>
              <w:rPr>
                <w:rFonts w:ascii="Times New Roman" w:hAnsi="Times New Roman"/>
                <w:sz w:val="20"/>
              </w:rPr>
              <w:t>§ 634 BGB; § 13 VOB/B</w:t>
            </w:r>
          </w:p>
        </w:tc>
      </w:tr>
      <w:tr>
        <w:tc>
          <w:tcPr>
            <w:tcW w:type="dxa" w:w="4536"/>
          </w:tcPr>
          <w:p>
            <w:r>
              <w:rPr>
                <w:rFonts w:ascii="Times New Roman" w:hAnsi="Times New Roman"/>
                <w:sz w:val="20"/>
              </w:rPr>
              <w:t>Bodenschutz</w:t>
            </w:r>
          </w:p>
        </w:tc>
        <w:tc>
          <w:tcPr>
            <w:tcW w:type="dxa" w:w="4536"/>
          </w:tcPr>
          <w:p>
            <w:r>
              <w:rPr>
                <w:rFonts w:ascii="Times New Roman" w:hAnsi="Times New Roman"/>
                <w:sz w:val="20"/>
              </w:rPr>
              <w:t>§§ 2, 4, 9 BBodSchG; BBodSchV</w:t>
            </w:r>
          </w:p>
        </w:tc>
      </w:tr>
      <w:tr>
        <w:tc>
          <w:tcPr>
            <w:tcW w:type="dxa" w:w="4536"/>
          </w:tcPr>
          <w:p>
            <w:r>
              <w:rPr>
                <w:rFonts w:ascii="Times New Roman" w:hAnsi="Times New Roman"/>
                <w:sz w:val="20"/>
              </w:rPr>
              <w:t>HOAI Honorar</w:t>
            </w:r>
          </w:p>
        </w:tc>
        <w:tc>
          <w:tcPr>
            <w:tcW w:type="dxa" w:w="4536"/>
          </w:tcPr>
          <w:p>
            <w:r>
              <w:rPr>
                <w:rFonts w:ascii="Times New Roman" w:hAnsi="Times New Roman"/>
                <w:sz w:val="20"/>
              </w:rPr>
              <w:t>§§ 7, 34 ff. HOAI 2021; EuGH C-377/17; BGH BauR 2022, 1596</w:t>
            </w:r>
          </w:p>
        </w:tc>
      </w:tr>
      <w:tr>
        <w:tc>
          <w:tcPr>
            <w:tcW w:type="dxa" w:w="4536"/>
          </w:tcPr>
          <w:p>
            <w:r>
              <w:rPr>
                <w:rFonts w:ascii="Times New Roman" w:hAnsi="Times New Roman"/>
                <w:sz w:val="20"/>
              </w:rPr>
              <w:t>VOB-Schiedsgutachten</w:t>
            </w:r>
          </w:p>
        </w:tc>
        <w:tc>
          <w:tcPr>
            <w:tcW w:type="dxa" w:w="4536"/>
          </w:tcPr>
          <w:p>
            <w:r>
              <w:rPr>
                <w:rFonts w:ascii="Times New Roman" w:hAnsi="Times New Roman"/>
                <w:sz w:val="20"/>
              </w:rPr>
              <w:t>§ 18 Nr. 2 VOB/B</w:t>
            </w:r>
          </w:p>
        </w:tc>
      </w:tr>
      <w:tr>
        <w:tc>
          <w:tcPr>
            <w:tcW w:type="dxa" w:w="4536"/>
          </w:tcPr>
          <w:p>
            <w:r>
              <w:rPr>
                <w:rFonts w:ascii="Times New Roman" w:hAnsi="Times New Roman"/>
                <w:sz w:val="20"/>
              </w:rPr>
              <w:t>Beweisverfahren</w:t>
            </w:r>
          </w:p>
        </w:tc>
        <w:tc>
          <w:tcPr>
            <w:tcW w:type="dxa" w:w="4536"/>
          </w:tcPr>
          <w:p>
            <w:r>
              <w:rPr>
                <w:rFonts w:ascii="Times New Roman" w:hAnsi="Times New Roman"/>
                <w:sz w:val="20"/>
              </w:rPr>
              <w:t>§§ 485 ff. ZPO</w:t>
            </w:r>
          </w:p>
        </w:tc>
      </w:tr>
      <w:tr>
        <w:tc>
          <w:tcPr>
            <w:tcW w:type="dxa" w:w="4536"/>
          </w:tcPr>
          <w:p>
            <w:r>
              <w:rPr>
                <w:rFonts w:ascii="Times New Roman" w:hAnsi="Times New Roman"/>
                <w:sz w:val="20"/>
              </w:rPr>
              <w:t>Bauablaufstörung</w:t>
            </w:r>
          </w:p>
        </w:tc>
        <w:tc>
          <w:tcPr>
            <w:tcW w:type="dxa" w:w="4536"/>
          </w:tcPr>
          <w:p>
            <w:r>
              <w:rPr>
                <w:rFonts w:ascii="Times New Roman" w:hAnsi="Times New Roman"/>
                <w:sz w:val="20"/>
              </w:rPr>
              <w:t>§ 6 VOB/B; § 642 BGB</w:t>
            </w:r>
          </w:p>
        </w:tc>
      </w:tr>
    </w:tbl>
    <w:p>
      <w:pPr>
        <w:jc w:val="left"/>
      </w:pPr>
      <w:r>
        <w:rPr>
          <w:i/>
        </w:rPr>
        <w:t>Bearbeiterin: RAin Dr. Henriette Niedermair, Stand 20.03.2026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Saalbau Wendelstein gGmbH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Saalbau Wendelstein gGmbH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