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– Technische Analyse: Mängel der Schallimmissionsprognose</w:t>
      </w:r>
    </w:p>
    <w:p>
      <w:pPr>
        <w:jc w:val="left"/>
      </w:pPr>
      <w:r>
        <w:rPr>
          <w:b/>
        </w:rPr>
        <w:t>Erstellt von:</w:t>
      </w:r>
      <w:r>
        <w:t xml:space="preserve"> RA Dr. Korbinian Maaßmann unter Mitwirkung von Dipl.-Ing. Klaus Riedering (Sachverständiger für Lärmschutz und Akustik, öbuv. SV der IHK Potsdam)</w:t>
      </w:r>
    </w:p>
    <w:p>
      <w:pPr>
        <w:jc w:val="left"/>
      </w:pPr>
      <w:r>
        <w:rPr>
          <w:b/>
        </w:rPr>
        <w:t>Datum:</w:t>
      </w:r>
      <w:r>
        <w:t xml:space="preserve"> 25.03.2026</w:t>
      </w:r>
    </w:p>
    <w:p>
      <w:pPr>
        <w:jc w:val="left"/>
      </w:pPr>
      <w:r>
        <w:rPr>
          <w:b/>
        </w:rPr>
        <w:t>Verfahren:</w:t>
      </w:r>
      <w:r>
        <w:t xml:space="preserve"> 4 K 218/26 (VG Potsdam)</w:t>
      </w:r>
    </w:p>
    <w:p>
      <w:pPr>
        <w:jc w:val="left"/>
      </w:pPr>
      <w:r>
        <w:rPr>
          <w:b/>
        </w:rPr>
        <w:t>Bezug:</w:t>
      </w:r>
      <w:r>
        <w:t xml:space="preserve"> Schallimmissionsprognose des Ing.-Büros AkustikConsult GmbH, Potsdam, Bericht-Nr. AC-2023-0741-Rev.3, Datum: 28.09.2023</w:t>
      </w:r>
    </w:p>
    <w:p/>
    <w:p>
      <w:pPr>
        <w:pStyle w:val="Heading2"/>
      </w:pPr>
      <w:r>
        <w:rPr>
          <w:rFonts w:ascii="Times New Roman" w:hAnsi="Times New Roman"/>
        </w:rPr>
        <w:t>I. Gegenstand der Analyse</w:t>
      </w:r>
    </w:p>
    <w:p>
      <w:pPr>
        <w:jc w:val="left"/>
      </w:pPr>
      <w:r>
        <w:t>Das vorgelegte Schallgutachten (Bericht-Nr. AC-2023-0741-Rev.3) bildet die wesentliche Grundlage für die Bewertung der Lärmauswirkungen des Windparks „Templiner Heide West". Es wurde von der Vorhabenträgerin WindEnergie Uckermark GmbH &amp; Co. KG in Auftrag gegeben (Interessenkollision) und diente der Genehmigungsbehörde (LfU) als maßgebliche fachliche Grundlage. Die nachfolgende Analyse identifiziert mehrere methodische Fehler und Unvollständigkeiten.</w:t>
      </w:r>
    </w:p>
    <w:p/>
    <w:p>
      <w:pPr>
        <w:pStyle w:val="Heading2"/>
      </w:pPr>
      <w:r>
        <w:rPr>
          <w:rFonts w:ascii="Times New Roman" w:hAnsi="Times New Roman"/>
        </w:rPr>
        <w:t>II. Festgestellte Mängel</w:t>
      </w:r>
    </w:p>
    <w:p>
      <w:pPr>
        <w:pStyle w:val="Heading3"/>
      </w:pPr>
      <w:r>
        <w:rPr>
          <w:rFonts w:ascii="Times New Roman" w:hAnsi="Times New Roman"/>
        </w:rPr>
        <w:t>Mangel 1: Nichtberücksichtigung der LAI-Hinweise 2022</w:t>
      </w:r>
    </w:p>
    <w:p>
      <w:pPr>
        <w:jc w:val="left"/>
      </w:pPr>
      <w:r>
        <w:t xml:space="preserve">Das Gutachten stützt sich methodisch auf die </w:t>
      </w:r>
      <w:r>
        <w:rPr>
          <w:b/>
        </w:rPr>
        <w:t>LAI-Hinweise zum Schallimmissionsschutz bei Windkraftanlagen</w:t>
      </w:r>
      <w:r>
        <w:t xml:space="preserve"> in der Fassung von </w:t>
      </w:r>
      <w:r>
        <w:rPr>
          <w:b/>
        </w:rPr>
        <w:t>2005</w:t>
      </w:r>
      <w:r>
        <w:t xml:space="preserve"> (aktualisiert 2017). Die Länderarbeitsgemeinschaft Immissionsschutz (LAI) hat jedoch am </w:t>
      </w:r>
      <w:r>
        <w:rPr>
          <w:b/>
        </w:rPr>
        <w:t>10.05.2022</w:t>
      </w:r>
      <w:r>
        <w:t xml:space="preserve"> aktualisierte Hinweise veröffentlicht (abrufbar unter: https://www.lai-immissionsschutz.de), die wesentliche Änderungen enthalten:</w:t>
      </w:r>
    </w:p>
    <w:p>
      <w:pPr>
        <w:pStyle w:val="ListNumber"/>
      </w:pPr>
      <w:r>
        <w:rPr>
          <w:b/>
        </w:rPr>
        <w:t>Überarbeitung des amplitudenmodulierten Schalls (AM):</w:t>
      </w:r>
      <w:r>
        <w:t xml:space="preserve"> Die LAI-Hinweise 2022 verlangen bei WEA mit Rotordurchmessern über 130 m (hier: 163 m) eine explizite Prüfung des amplitudenmodulierten Schalls und ggf. einen Zuschlag von bis zu 3 dB(A) für den sog. „auffälligen Schall" (§ 3.2.3 LAI-Hinweise 2022). Das Gutachten von AkustikConsult enthält </w:t>
      </w:r>
      <w:r>
        <w:rPr>
          <w:b/>
        </w:rPr>
        <w:t>keine</w:t>
      </w:r>
      <w:r>
        <w:t xml:space="preserve"> solche Prüfung.</w:t>
      </w:r>
    </w:p>
    <w:p>
      <w:pPr>
        <w:pStyle w:val="ListNumber"/>
      </w:pPr>
      <w:r>
        <w:rPr>
          <w:b/>
        </w:rPr>
        <w:t>Neubewertung des Tonzuschlags:</w:t>
      </w:r>
      <w:r>
        <w:t xml:space="preserve"> Bei der Nordex N163/6.X wurden in anderen Verfahren (OVG Schleswig-Holstein, Beschl. v. 21.03.2023, 5 MB 7/23) auffällige Geräuschanteile festgestellt. Das Gutachten setzt keinen Tonzuschlag an.</w:t>
      </w:r>
    </w:p>
    <w:p>
      <w:pPr>
        <w:pStyle w:val="ListNumber"/>
      </w:pPr>
      <w:r>
        <w:rPr>
          <w:b/>
        </w:rPr>
        <w:t>Meteorologische Korrekturfaktoren:</w:t>
      </w:r>
      <w:r>
        <w:t xml:space="preserve"> Die LAI-Hinweise 2022 sehen für Hochlagen (hier: Geländehöhen um 70–80 m ü. NHN) spezifische meteorologische Korrekturfaktoren vor, die im Gutachten nicht berücksichtigt werden.</w:t>
      </w:r>
    </w:p>
    <w:p>
      <w:pPr>
        <w:jc w:val="left"/>
      </w:pPr>
      <w:r>
        <w:rPr>
          <w:b/>
        </w:rPr>
        <w:t>Rechtliche Relevanz:</w:t>
      </w:r>
      <w:r>
        <w:t xml:space="preserve"> Nach der ständigen Rechtsprechung des BVerwG (Urt. v. 29.08.2007, 4 C 2.07, Rdnr. 24 ff.) sind die LAI-Hinweise als antizipiertes Sachverständigengutachten zu behandeln. Die Nichtberücksichtigung der aktuellen Fassung stellt einen methodischen Fehler dar, der zur Rechtswidrigkeit des Bescheids führen kann.</w:t>
      </w:r>
    </w:p>
    <w:p>
      <w:pPr>
        <w:pStyle w:val="Heading3"/>
      </w:pPr>
      <w:r>
        <w:rPr>
          <w:rFonts w:ascii="Times New Roman" w:hAnsi="Times New Roman"/>
        </w:rPr>
        <w:t>Mangel 2: Schallleistungspegel WEA 03 – Fehlerhafte Eingangsdaten</w:t>
      </w:r>
    </w:p>
    <w:p>
      <w:pPr>
        <w:jc w:val="left"/>
      </w:pPr>
      <w:r>
        <w:t xml:space="preserve">Für die Nordex N163/6.X wird im Gutachten ein Schallleistungspegel von </w:t>
      </w:r>
      <w:r>
        <w:rPr>
          <w:b/>
        </w:rPr>
        <w:t>LWA = 106,0 dB(A)</w:t>
      </w:r>
      <w:r>
        <w:t xml:space="preserve"> angesetzt (Gutachten S. 12, Tab. 2). Nach den Produktunterlagen von Nordex Energy SE (Technisches Datenblatt N163/6.X, Rev. 4, Stand 2022, Anlage 3 der Antragsunterlagen) beträgt der garantierte Schallleistungspegel für den Betriebsmodus </w:t>
      </w:r>
      <w:r>
        <w:rPr>
          <w:b/>
        </w:rPr>
        <w:t>M0 (Nennleistungsbetrieb)</w:t>
      </w:r>
      <w:r>
        <w:t xml:space="preserve"> jedoch </w:t>
      </w:r>
      <w:r>
        <w:rPr>
          <w:b/>
        </w:rPr>
        <w:t>LWA = 107,5 dB(A)</w:t>
      </w:r>
      <w:r>
        <w:t>. Die Differenz von 1,5 dB(A) ist am Immissionsort IO-05 (Dr. Maashardt) mit einer Distanz von 412 m signifikant:</w:t>
      </w:r>
    </w:p>
    <w:p>
      <w:pPr>
        <w:jc w:val="left"/>
      </w:pPr>
      <w:r>
        <w:t>Pegelzunahme am IO-05: Δ ≈ +1,2 dB(A) (nach Ausbreitungsrechnung gem. ISO 9613-2)</w:t>
      </w:r>
    </w:p>
    <w:p>
      <w:pPr>
        <w:jc w:val="left"/>
      </w:pPr>
      <w:r>
        <w:t xml:space="preserve">Tatsächlicher Prognosewert IO-05 (nach Korrektur): </w:t>
      </w:r>
      <w:r>
        <w:rPr>
          <w:b/>
        </w:rPr>
        <w:t>42,5 dB(A)</w:t>
      </w:r>
      <w:r>
        <w:t xml:space="preserve"> nachts (gegenüber 41,3 dB(A) im Gutachten)</w:t>
      </w:r>
    </w:p>
    <w:p>
      <w:pPr>
        <w:jc w:val="left"/>
      </w:pPr>
      <w:r>
        <w:t xml:space="preserve">Damit wird der Immissionsrichtwert für WA-Gebiete (40 dB(A)) um </w:t>
      </w:r>
      <w:r>
        <w:rPr>
          <w:b/>
        </w:rPr>
        <w:t>2,5 dB(A)</w:t>
      </w:r>
      <w:r>
        <w:t xml:space="preserve"> überschritten – eine Unterschreitung des Richtwertes um weniger als 6 dB(A) ist nach dem sog. „Relevanzgebot" (vgl. BVerwG, Urt. v. 16.05.2001, 7 C 16.00) relevant.</w:t>
      </w:r>
    </w:p>
    <w:p>
      <w:pPr>
        <w:pStyle w:val="Heading3"/>
      </w:pPr>
      <w:r>
        <w:rPr>
          <w:rFonts w:ascii="Times New Roman" w:hAnsi="Times New Roman"/>
        </w:rPr>
        <w:t>Mangel 3: Kumulationsberechnung unvollständig</w:t>
      </w:r>
    </w:p>
    <w:p>
      <w:pPr>
        <w:jc w:val="left"/>
      </w:pPr>
      <w:r>
        <w:t xml:space="preserve">Das Gutachten berücksichtigt nicht die bereits bestehenden Windenergieanlagen des Windparks „Templiner Heide Ost" (7 Anlagen ENERCON E-66, in Betrieb seit 2004, LWA je 104,0 dB(A)). Nach Abschnitt 2.4 der TA Lärm sind Vorbelastungen zu berücksichtigen. Eine vollständige Kumulations-Berechnung fehlt. Nach unserer Einschätzung steigt der kumulierte Nachtwert am IO-05 auf ca. </w:t>
      </w:r>
      <w:r>
        <w:rPr>
          <w:b/>
        </w:rPr>
        <w:t>43,8 dB(A)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Mangel 4: Schattenwurf-Berechnung WEA 03 – Geometriefehler</w:t>
      </w:r>
    </w:p>
    <w:p>
      <w:pPr>
        <w:jc w:val="left"/>
      </w:pPr>
      <w:r>
        <w:t xml:space="preserve">Die Schattenwurfprognose für WEA 03 (Standort: 53°06'41" N, 13°22'08" O) weist für den Immissionsort IO-05 (Dr. Maashardt) eine jährliche Beschattungsdauer von </w:t>
      </w:r>
      <w:r>
        <w:rPr>
          <w:b/>
        </w:rPr>
        <w:t>31,7 h/a</w:t>
      </w:r>
      <w:r>
        <w:t xml:space="preserve"> aus. Nach Überprüfung der Eingabedaten durch unseren Sachverständigen Dipl.-Ing. Riedering ist die </w:t>
      </w:r>
      <w:r>
        <w:rPr>
          <w:b/>
        </w:rPr>
        <w:t>Rotorfläche</w:t>
      </w:r>
      <w:r>
        <w:t xml:space="preserve"> der N163/6.X mit 163 m Rotordurchmesser in der Berechnung mit </w:t>
      </w:r>
      <w:r>
        <w:rPr>
          <w:b/>
        </w:rPr>
        <w:t>151 m</w:t>
      </w:r>
      <w:r>
        <w:t xml:space="preserve"> angesetzt worden (Eingabefehler im Softwaremodell WinShadow Pro, Version 7.3). Die korrekte Berechnung ergibt eine jährliche Beschattungsdauer von </w:t>
      </w:r>
      <w:r>
        <w:rPr>
          <w:b/>
        </w:rPr>
        <w:t>34,2 h/a</w:t>
      </w:r>
      <w:r>
        <w:t xml:space="preserve">, was den LAI-Orientierungswert von 30 h/a um </w:t>
      </w:r>
      <w:r>
        <w:rPr>
          <w:b/>
        </w:rPr>
        <w:t>14 %</w:t>
      </w:r>
      <w:r>
        <w:t xml:space="preserve"> übersteigt.</w:t>
      </w:r>
    </w:p>
    <w:p/>
    <w:p>
      <w:pPr>
        <w:pStyle w:val="Heading2"/>
      </w:pPr>
      <w:r>
        <w:rPr>
          <w:rFonts w:ascii="Times New Roman" w:hAnsi="Times New Roman"/>
        </w:rPr>
        <w:t>III. Rechtliche Konsequenzen</w:t>
      </w:r>
    </w:p>
    <w:p>
      <w:pPr>
        <w:jc w:val="left"/>
      </w:pPr>
      <w:r>
        <w:t xml:space="preserve">Die festgestellten Mängel führen zur </w:t>
      </w:r>
      <w:r>
        <w:rPr>
          <w:b/>
        </w:rPr>
        <w:t>formellen und materiellen Rechtswidrigkeit</w:t>
      </w:r>
      <w:r>
        <w:t xml:space="preserve"> des Genehmigungsbescheids:</w:t>
      </w:r>
    </w:p>
    <w:p>
      <w:pPr>
        <w:pStyle w:val="ListNumber"/>
      </w:pPr>
      <w:r>
        <w:rPr>
          <w:b/>
        </w:rPr>
        <w:t>Verstoß gegen § 6 Abs. 1 Nr. 1 BImSchG</w:t>
      </w:r>
      <w:r>
        <w:t xml:space="preserve"> i.V.m. Nr. 6.1 TA Lärm: Die Genehmigungsvoraussetzungen lagen aufgrund fehlerhafter Schallprognose nicht vor.</w:t>
      </w:r>
    </w:p>
    <w:p>
      <w:pPr>
        <w:pStyle w:val="ListNumber"/>
      </w:pPr>
      <w:r>
        <w:rPr>
          <w:b/>
        </w:rPr>
        <w:t>Verletzung des Untersuchungsgrundsatzes</w:t>
      </w:r>
      <w:r>
        <w:t xml:space="preserve"> (§ 24 VwVfG): Das LfU hat die Mängel des Gutachtens nicht erkannt und eigene Ermittlungen unterlassen.</w:t>
      </w:r>
    </w:p>
    <w:p>
      <w:pPr>
        <w:pStyle w:val="ListNumber"/>
      </w:pPr>
      <w:r>
        <w:rPr>
          <w:b/>
        </w:rPr>
        <w:t>Verletzung des Verhältnismäßigkeitsprinzips</w:t>
      </w:r>
      <w:r>
        <w:t xml:space="preserve"> (Art. 20 Abs. 3 GG): Auflagenfreie Genehmigung trotz erkennbarer Grenzwertüberschreitung.</w:t>
      </w:r>
    </w:p>
    <w:p/>
    <w:p>
      <w:pPr>
        <w:pStyle w:val="Heading2"/>
      </w:pPr>
      <w:r>
        <w:rPr>
          <w:rFonts w:ascii="Times New Roman" w:hAnsi="Times New Roman"/>
        </w:rPr>
        <w:t>IV. Beweisangebote</w:t>
      </w:r>
    </w:p>
    <w:p>
      <w:pPr>
        <w:pStyle w:val="ListBullet"/>
      </w:pPr>
      <w:r>
        <w:t>Sachverständigengutachten Dipl.-Ing. Klaus Riedering (in Vorbereitung, Übergabe bis 10.04.2026)</w:t>
      </w:r>
    </w:p>
    <w:p>
      <w:pPr>
        <w:pStyle w:val="ListBullet"/>
      </w:pPr>
      <w:r>
        <w:t>Nordex-Technisches Datenblatt N163/6.X, Rev. 4 (Anlage)</w:t>
      </w:r>
    </w:p>
    <w:p>
      <w:pPr>
        <w:pStyle w:val="ListBullet"/>
      </w:pPr>
      <w:r>
        <w:t>LAI-Hinweise 2022 (Anlage)</w:t>
      </w:r>
    </w:p>
    <w:p>
      <w:pPr>
        <w:pStyle w:val="ListBullet"/>
      </w:pPr>
      <w:r>
        <w:t>WinShadow Pro Berechnungsprotokoll (nach Akteneinsicht)</w:t>
      </w:r>
    </w:p>
    <w:p/>
    <w:p>
      <w:pPr>
        <w:jc w:val="left"/>
      </w:pPr>
      <w:r>
        <w:rPr>
          <w:i/>
        </w:rPr>
        <w:t>Erstellt: 25.03.2026 | Bearbeiter: RA Dr. K. Maaßmann, Dipl.-Ing. K. Riedering | Akte: WUE-2026/047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Ing.-Büros AkustikConsult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Ing.-Büros AkustikConsult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Potsdam, Bericht-Nr. AC-2023-0741-Rev.3, Datum: 28.09.2023 · 4 K 218/26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