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Haftbefehl — LG Frankfurt am Main — Az. 5/28 KLs 122/25</w:t>
      </w:r>
    </w:p>
    <w:p>
      <w:pPr>
        <w:jc w:val="left"/>
      </w:pPr>
      <w:r>
        <w:rPr>
          <w:b/>
        </w:rPr>
        <w:t>[AUSZUG — Originalfassung bei Gericht, dieses Exemplar Verteidigungskopie]</w:t>
      </w:r>
    </w:p>
    <w:p/>
    <w:p>
      <w:pPr>
        <w:jc w:val="left"/>
      </w:pPr>
      <w:r>
        <w:rPr>
          <w:b/>
        </w:rPr>
        <w:t>LANDGERICHT FRANKFURT AM MAIN</w:t>
      </w:r>
    </w:p>
    <w:p>
      <w:pPr>
        <w:jc w:val="left"/>
      </w:pPr>
      <w:r>
        <w:rPr>
          <w:b/>
        </w:rPr>
        <w:t>14. Große Wirtschaftsstrafkammer</w:t>
      </w:r>
    </w:p>
    <w:p>
      <w:pPr>
        <w:jc w:val="left"/>
      </w:pPr>
      <w:r>
        <w:t xml:space="preserve">Az.: </w:t>
      </w:r>
      <w:r>
        <w:rPr>
          <w:b/>
        </w:rPr>
        <w:t>5/28 KLs 122/25</w:t>
      </w:r>
    </w:p>
    <w:p>
      <w:pPr>
        <w:jc w:val="left"/>
      </w:pPr>
      <w:r>
        <w:t>(verbunden mit StA-Az.: 5400 Js 14782/24)</w:t>
      </w:r>
    </w:p>
    <w:p/>
    <w:p>
      <w:pPr>
        <w:pStyle w:val="Heading2"/>
      </w:pPr>
      <w:r>
        <w:rPr>
          <w:rFonts w:ascii="Times New Roman" w:hAnsi="Times New Roman"/>
        </w:rPr>
        <w:t>HAFTBEFEHL</w:t>
      </w:r>
    </w:p>
    <w:p>
      <w:pPr>
        <w:jc w:val="left"/>
      </w:pPr>
      <w:r>
        <w:rPr>
          <w:b/>
        </w:rPr>
        <w:t>Erlassen am: 14. März 2025</w:t>
      </w:r>
    </w:p>
    <w:p>
      <w:pPr>
        <w:jc w:val="left"/>
      </w:pPr>
      <w:r>
        <w:t>Beschlossen durch: Vorsitzende Richterin am Landgericht Dr. Susanne Keller-Vogt, Richterin am Landgericht Monika Brandt, Richter am Landgericht Thilo Fassbender</w:t>
      </w:r>
    </w:p>
    <w:p/>
    <w:p>
      <w:pPr>
        <w:pStyle w:val="Heading3"/>
      </w:pPr>
      <w:r>
        <w:rPr>
          <w:rFonts w:ascii="Times New Roman" w:hAnsi="Times New Roman"/>
        </w:rPr>
        <w:t>I. Beschuldigter</w:t>
      </w:r>
    </w:p>
    <w:p>
      <w:pPr>
        <w:jc w:val="left"/>
      </w:pPr>
      <w:r>
        <w:rPr>
          <w:b/>
        </w:rPr>
        <w:t>Name:</w:t>
      </w:r>
      <w:r>
        <w:t xml:space="preserve"> Bankert, Daniel Albert</w:t>
      </w:r>
    </w:p>
    <w:p>
      <w:pPr>
        <w:jc w:val="left"/>
      </w:pPr>
      <w:r>
        <w:rPr>
          <w:b/>
        </w:rPr>
        <w:t>geb.:</w:t>
      </w:r>
      <w:r>
        <w:t xml:space="preserve"> 14.03.1979 in Frankfurt am Main</w:t>
      </w:r>
    </w:p>
    <w:p>
      <w:pPr>
        <w:jc w:val="left"/>
      </w:pPr>
      <w:r>
        <w:rPr>
          <w:b/>
        </w:rPr>
        <w:t>Staatsangehörigkeit:</w:t>
      </w:r>
      <w:r>
        <w:t xml:space="preserve"> deutsch</w:t>
      </w:r>
    </w:p>
    <w:p>
      <w:pPr>
        <w:jc w:val="left"/>
      </w:pPr>
      <w:r>
        <w:rPr>
          <w:b/>
        </w:rPr>
        <w:t>Beruf:</w:t>
      </w:r>
      <w:r>
        <w:t xml:space="preserve"> Geschäftsführer (GmbH)</w:t>
      </w:r>
    </w:p>
    <w:p>
      <w:pPr>
        <w:jc w:val="left"/>
      </w:pPr>
      <w:r>
        <w:rPr>
          <w:b/>
        </w:rPr>
        <w:t>Unternehmen:</w:t>
      </w:r>
      <w:r>
        <w:t xml:space="preserve"> Bankert Industrieautomation GmbH, Hanauer Landstraße 204, 60314 Frankfurt am Main</w:t>
      </w:r>
    </w:p>
    <w:p>
      <w:pPr>
        <w:jc w:val="left"/>
      </w:pPr>
      <w:r>
        <w:rPr>
          <w:b/>
        </w:rPr>
        <w:t>Wohnschrift (bekannt):</w:t>
      </w:r>
      <w:r>
        <w:t xml:space="preserve"> Westendstraße 112, 60325 Frankfurt am Main</w:t>
      </w:r>
    </w:p>
    <w:p>
      <w:pPr>
        <w:jc w:val="left"/>
      </w:pPr>
      <w:r>
        <w:rPr>
          <w:b/>
        </w:rPr>
        <w:t>Weitere Anschrift:</w:t>
      </w:r>
      <w:r>
        <w:t xml:space="preserve"> ██████████, Zürich, Schweiz (Ehefrau Zweite; Identität bekannt)</w:t>
      </w:r>
    </w:p>
    <w:p/>
    <w:p>
      <w:pPr>
        <w:pStyle w:val="Heading3"/>
      </w:pPr>
      <w:r>
        <w:rPr>
          <w:rFonts w:ascii="Times New Roman" w:hAnsi="Times New Roman"/>
        </w:rPr>
        <w:t>II. Tatvorwürfe</w:t>
      </w:r>
    </w:p>
    <w:p>
      <w:pPr>
        <w:jc w:val="left"/>
      </w:pPr>
      <w:r>
        <w:t>Der Beschuldigte ist dringend verdächtig, folgende Straftaten begangen zu haben:</w:t>
      </w:r>
    </w:p>
    <w:p>
      <w:pPr>
        <w:jc w:val="left"/>
      </w:pPr>
      <w:r>
        <w:rPr>
          <w:b/>
        </w:rPr>
        <w:t>Tat 1 — Gewerbsmäßiger Betrug, § 263 Abs. 1, Abs. 3 S. 2 Nr. 1 StGB:</w:t>
      </w:r>
    </w:p>
    <w:p>
      <w:pPr>
        <w:jc w:val="left"/>
      </w:pPr>
      <w:r>
        <w:t xml:space="preserve">Der Beschuldigte soll im Zeitraum von Januar 2019 bis Dezember 2022 als Geschäftsführer der Bankert Industrieautomation GmbH bei der ABC Großabnehmer SE in 14 Einzelakten Angebote über Industriemaschinen und Automatisierungskomponenten eingereicht haben, in denen technische Leistungsparameter und Lieferbedingungen bewusst falsch angegeben wurden. Durch die hierauf basierenden Kaufverträge soll der ABC Großabnehmer SE ein Gesamtschaden von mindestens </w:t>
      </w:r>
      <w:r>
        <w:rPr>
          <w:b/>
        </w:rPr>
        <w:t>4.300.000 EUR</w:t>
      </w:r>
      <w:r>
        <w:t xml:space="preserve"> entstanden sein. Die Tatausführung soll gewerbsmäßig im Sinne des § 263 Abs. 3 S. 2 Nr. 1 StGB erfolgt sein.</w:t>
      </w:r>
    </w:p>
    <w:p>
      <w:pPr>
        <w:jc w:val="left"/>
      </w:pPr>
      <w:r>
        <w:rPr>
          <w:b/>
        </w:rPr>
        <w:t>Tat 2 — Untreue, § 266 Abs. 1 StGB:</w:t>
      </w:r>
    </w:p>
    <w:p>
      <w:pPr>
        <w:jc w:val="left"/>
      </w:pPr>
      <w:r>
        <w:t xml:space="preserve">Der Beschuldigte soll als alleiniger Geschäftsführer der Bankert Industrieautomation GmbH im Zeitraum Oktober 2020 bis März 2022 Gesellschaftsmittel in Höhe von insgesamt mindestens </w:t>
      </w:r>
      <w:r>
        <w:rPr>
          <w:b/>
        </w:rPr>
        <w:t>870.000 EUR</w:t>
      </w:r>
      <w:r>
        <w:t xml:space="preserve"> durch Überweisung an den ██████-Trust in Vaduz/Liechtenstein dem Gesellschaftsvermögen entzogen haben, ohne dass dem eine rechtswirksame Gesellschafterversammlung oder ein sonstiger rechtfertigender Beschluss zugrunde lag.</w:t>
      </w:r>
    </w:p>
    <w:p>
      <w:pPr>
        <w:jc w:val="left"/>
      </w:pPr>
      <w:r>
        <w:rPr>
          <w:b/>
        </w:rPr>
        <w:t>Tat 3 — Bestechung, § 334 Abs. 1 StGB:</w:t>
      </w:r>
    </w:p>
    <w:p>
      <w:pPr>
        <w:jc w:val="left"/>
      </w:pPr>
      <w:r>
        <w:t>Der Beschuldigte soll im Zeitraum 2019–2022 an mindestens drei Einkäufer der ABC Großabnehmer SE — Sven Pollmann (Leiter Einkauf), █████ ████████ und ██████ ████ — Geldbeträge und Sachleistungen (Urlaubsreisen, Veranstaltungstickets) gewährt haben, um die bevorzugte Vergabe von Aufträgen an die Bankert Industrieautomation GmbH zu sichern.</w:t>
      </w:r>
    </w:p>
    <w:p>
      <w:pPr>
        <w:jc w:val="left"/>
      </w:pPr>
      <w:r>
        <w:rPr>
          <w:b/>
        </w:rPr>
        <w:t>Tat 4 — Steuerhinterziehung, § 370 Abs. 1 Nr. 1, Abs. 3 S. 2 Nr. 1 AO:</w:t>
      </w:r>
    </w:p>
    <w:p>
      <w:pPr>
        <w:jc w:val="left"/>
      </w:pPr>
      <w:r>
        <w:t xml:space="preserve">Der Beschuldigte soll für die Veranlagungszeiträume 2019 bis 2022 unrichtige Körperschaftssteuererklärungen und Umsatzsteuerjahreserklärungen der Bankert Industrieautomation GmbH beim zuständigen Finanzamt Frankfurt am Main IV eingereicht haben, in denen Betriebseinnahmen verkürzt und nicht abzugsfähige Bestechungszahlungen als Betriebsausgaben verbucht wurden. Verkürzter Steuerbetrag: mindestens </w:t>
      </w:r>
      <w:r>
        <w:rPr>
          <w:b/>
        </w:rPr>
        <w:t>1.100.000 EUR</w:t>
      </w:r>
      <w:r>
        <w:t xml:space="preserve"> (KSt, GewSt, USt zusammen).</w:t>
      </w:r>
    </w:p>
    <w:p/>
    <w:p>
      <w:pPr>
        <w:pStyle w:val="Heading3"/>
      </w:pPr>
      <w:r>
        <w:rPr>
          <w:rFonts w:ascii="Times New Roman" w:hAnsi="Times New Roman"/>
        </w:rPr>
        <w:t>III. Haftgründe</w:t>
      </w:r>
    </w:p>
    <w:p>
      <w:pPr>
        <w:jc w:val="left"/>
      </w:pPr>
      <w:r>
        <w:rPr>
          <w:b/>
        </w:rPr>
        <w:t>Fluchtgefahr, § 112 Abs. 2 Nr. 2 StPO:</w:t>
      </w:r>
    </w:p>
    <w:p>
      <w:pPr>
        <w:jc w:val="left"/>
      </w:pPr>
      <w:r>
        <w:t>Zu befürchten ist, dass sich der Beschuldigte dem Verfahren durch Flucht entziehen wird. Hierfür sprechen folgende Umstände:</w:t>
      </w:r>
    </w:p>
    <w:p>
      <w:pPr>
        <w:pStyle w:val="ListNumber"/>
      </w:pPr>
      <w:r>
        <w:t>Der Beschuldigte unterhält seit 2018 eine eheliche Lebensgemeinschaft mit einer Schweizer Staatsbürgerin in Zürich; er besitzt einen gültigen deutschen Reisepass und verfügt über legale Einreise- und Aufenthaltsrechte in der Schweiz.</w:t>
      </w:r>
    </w:p>
    <w:p>
      <w:pPr>
        <w:pStyle w:val="ListNumber"/>
      </w:pPr>
      <w:r>
        <w:t xml:space="preserve">Auf Konten bei der ██████████ AG, Liechtenstein, sowie bei der ██████ Bank, Luxemburg, befinden sich nach aktuellem Erkenntnisstand liquide Vermögenswerte von mindestens </w:t>
      </w:r>
      <w:r>
        <w:rPr>
          <w:b/>
        </w:rPr>
        <w:t>2.100.000 EUR</w:t>
      </w:r>
      <w:r>
        <w:t>, die dem deutschen Vollstreckungszugriff derzeit nicht unterliegen.</w:t>
      </w:r>
    </w:p>
    <w:p>
      <w:pPr>
        <w:pStyle w:val="ListNumber"/>
      </w:pPr>
      <w:r>
        <w:t>Die bisherige Geschäftsführertätigkeit belegt, dass der Beschuldigte über internationale Beziehungen, Fremdsprachkenntnisse (Englisch, Französisch) und logistische Kompetenz zur Durchführung einer Flucht verfügt.</w:t>
      </w:r>
    </w:p>
    <w:p>
      <w:pPr>
        <w:pStyle w:val="ListNumber"/>
      </w:pPr>
      <w:r>
        <w:t>Die erhebliche Straferwartung (Betrug gewerbsmäßig, § 263 Abs. 3 StGB: Strafrahmen bis 10 Jahre Freiheitsstrafe; § 370 Abs. 3 AO besonders schwerer Fall) erhöht den Fluchtanreiz erheblich.</w:t>
      </w:r>
    </w:p>
    <w:p>
      <w:pPr>
        <w:jc w:val="left"/>
      </w:pPr>
      <w:r>
        <w:rPr>
          <w:b/>
        </w:rPr>
        <w:t>Verdunkelungsgefahr, § 112 Abs. 2 Nr. 3 StPO</w:t>
      </w:r>
      <w:r>
        <w:t xml:space="preserve"> (hilfsweise):</w:t>
      </w:r>
    </w:p>
    <w:p>
      <w:pPr>
        <w:jc w:val="left"/>
      </w:pPr>
      <w:r>
        <w:t>Es bestehen konkrete Anhaltspunkte dafür, dass der Beschuldigte — in Freiheit belassen — auf Zeugen (insbesondere Mitarbeiter der GmbH sowie Kontakte zu den bestochenen Einkäufern) Einfluss zu nehmen versuchen würde.</w:t>
      </w:r>
    </w:p>
    <w:p/>
    <w:p>
      <w:pPr>
        <w:pStyle w:val="Heading3"/>
      </w:pPr>
      <w:r>
        <w:rPr>
          <w:rFonts w:ascii="Times New Roman" w:hAnsi="Times New Roman"/>
        </w:rPr>
        <w:t>IV. Verhältnismäßigkeit</w:t>
      </w:r>
    </w:p>
    <w:p>
      <w:pPr>
        <w:jc w:val="left"/>
      </w:pPr>
      <w:r>
        <w:t>Der Erlass des Haftbefehls ist verhältnismäßig. Mildere Mittel (§ 116 StPO) erscheinen angesichts der Auslandsvermögen und der engen Verbindung des Beschuldigten zur Schweiz nicht ausreichend, um den Haftzweck zu sichern. Auf die Erhebung einer Sicherheitsleistung wurde vorläufig verzichtet, da Höhe und Liquidierbarkeit der Auslandsvermögen noch nicht vollständig ermittelt sind.</w:t>
      </w:r>
    </w:p>
    <w:p/>
    <w:p>
      <w:pPr>
        <w:pStyle w:val="Heading3"/>
      </w:pPr>
      <w:r>
        <w:rPr>
          <w:rFonts w:ascii="Times New Roman" w:hAnsi="Times New Roman"/>
        </w:rPr>
        <w:t>V. Vollzug</w:t>
      </w:r>
    </w:p>
    <w:p>
      <w:pPr>
        <w:jc w:val="left"/>
      </w:pPr>
      <w:r>
        <w:t xml:space="preserve">Der Haftbefehl ist zu vollziehen. Der Beschuldigte ist unverzüglich in die </w:t>
      </w:r>
      <w:r>
        <w:rPr>
          <w:b/>
        </w:rPr>
        <w:t>Justizvollzugsanstalt Frankfurt I, Hammelsgasse 5, 60311 Frankfurt am Main</w:t>
      </w:r>
      <w:r>
        <w:t xml:space="preserve"> einzuliefern.</w:t>
      </w:r>
    </w:p>
    <w:p/>
    <w:p>
      <w:pPr>
        <w:jc w:val="left"/>
      </w:pPr>
      <w:r>
        <w:rPr>
          <w:b/>
        </w:rPr>
        <w:t>Frankfurt am Main, 14. März 2025</w:t>
      </w:r>
    </w:p>
    <w:p>
      <w:pPr>
        <w:jc w:val="left"/>
      </w:pPr>
      <w:r>
        <w:t>Dr. Susanne Keller-Vogt</w:t>
      </w:r>
    </w:p>
    <w:p>
      <w:pPr>
        <w:jc w:val="left"/>
      </w:pPr>
      <w:r>
        <w:t>Vorsitzende Richterin am Landgericht</w:t>
      </w:r>
    </w:p>
    <w:p>
      <w:pPr>
        <w:jc w:val="left"/>
      </w:pPr>
      <w:r>
        <w:t>— 14. Große Wirtschaftsstrafkammer —</w:t>
      </w:r>
    </w:p>
    <w:p>
      <w:pPr>
        <w:jc w:val="left"/>
      </w:pPr>
      <w:r>
        <w:rPr>
          <w:i/>
        </w:rPr>
        <w:t>(Siegel — im Auszug nicht wiedergegeben)</w:t>
      </w:r>
    </w:p>
    <w:p/>
    <w:p>
      <w:pPr>
        <w:jc w:val="left"/>
      </w:pPr>
      <w:r>
        <w:rPr>
          <w:i/>
        </w:rPr>
        <w:t>[Ende Auszug — redigierte Fassung für Verteidigungsakte, erstellt gemäß § 147 StPO]</w:t>
      </w:r>
    </w:p>
    <w:p>
      <w:pPr>
        <w:jc w:val="left"/>
      </w:pPr>
      <w:r>
        <w:rPr>
          <w:i/>
        </w:rPr>
        <w:t>Originalaktenzeichen: 5/28 KLs 122/25 — StA-Az.: 5400 Js 14782/24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[AUSZUG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[AUSZUG</w:t>
    </w:r>
  </w:p>
  <w:p>
    <w:pPr>
      <w:jc w:val="left"/>
      <w:pBdr>
        <w:bottom w:val="single" w:sz="6" w:space="2" w:color="3B3F45"/>
      </w:pBdr>
    </w:pPr>
    <w:r>
      <w:rPr>
        <w:rFonts w:ascii="Times New Roman" w:hAnsi="Times New Roman"/>
        <w:color w:val="6B6B66"/>
        <w:sz w:val="16"/>
      </w:rPr>
      <w:t>dieses Exemplar Verteidigungskopie] · Az. 5/28 KLs 122/25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