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Beweisantrag — Einholung Sachverständigengutachten Maschinenbewertung</w:t>
      </w:r>
    </w:p>
    <w:p>
      <w:pPr>
        <w:jc w:val="left"/>
      </w:pPr>
      <w:r>
        <w:rPr>
          <w:b/>
        </w:rPr>
        <w:t>Marx Strafverteidigung Frankfurt</w:t>
      </w:r>
    </w:p>
    <w:p>
      <w:pPr>
        <w:jc w:val="left"/>
      </w:pPr>
      <w:r>
        <w:t>Dr. Friederike Marx, Fachanwältin für Strafrecht</w:t>
      </w:r>
    </w:p>
    <w:p>
      <w:pPr>
        <w:jc w:val="left"/>
      </w:pPr>
      <w:r>
        <w:t>Bockenheimer Landstraße 84, 60323 Frankfurt am Main</w:t>
      </w:r>
    </w:p>
    <w:p>
      <w:pPr>
        <w:jc w:val="left"/>
      </w:pPr>
      <w:r>
        <w:t>An das</w:t>
      </w:r>
    </w:p>
    <w:p>
      <w:pPr>
        <w:jc w:val="left"/>
      </w:pPr>
      <w:r>
        <w:rPr>
          <w:b/>
        </w:rPr>
        <w:t>Landgericht Frankfurt am Main</w:t>
      </w:r>
    </w:p>
    <w:p>
      <w:pPr>
        <w:jc w:val="left"/>
      </w:pPr>
      <w:r>
        <w:t>— 14. Große Wirtschaftsstrafkammer —</w:t>
      </w:r>
    </w:p>
    <w:p>
      <w:pPr>
        <w:jc w:val="left"/>
      </w:pPr>
      <w:r>
        <w:t>Gerichtsstraße 2</w:t>
      </w:r>
    </w:p>
    <w:p>
      <w:pPr>
        <w:jc w:val="left"/>
      </w:pPr>
      <w:r>
        <w:t>60313 Frankfurt am Main</w:t>
      </w:r>
    </w:p>
    <w:p>
      <w:pPr>
        <w:jc w:val="left"/>
      </w:pPr>
      <w:r>
        <w:t xml:space="preserve">Frankfurt am Main, </w:t>
      </w:r>
      <w:r>
        <w:rPr>
          <w:b/>
        </w:rPr>
        <w:t>02. Juni 2025</w:t>
      </w:r>
    </w:p>
    <w:p/>
    <w:p>
      <w:pPr>
        <w:jc w:val="left"/>
      </w:pPr>
      <w:r>
        <w:rPr>
          <w:b/>
        </w:rPr>
        <w:t>Az.: 5/28 KLs 122/25</w:t>
      </w:r>
    </w:p>
    <w:p>
      <w:pPr>
        <w:jc w:val="left"/>
      </w:pPr>
      <w:r>
        <w:rPr>
          <w:b/>
        </w:rPr>
        <w:t>In der Strafsache gegen Daniel Albert Bankert</w:t>
      </w:r>
    </w:p>
    <w:p/>
    <w:p>
      <w:pPr>
        <w:pStyle w:val="Heading2"/>
      </w:pPr>
      <w:r>
        <w:rPr>
          <w:rFonts w:ascii="Times New Roman" w:hAnsi="Times New Roman"/>
        </w:rPr>
        <w:t>BEWEISANTRAG</w:t>
      </w:r>
    </w:p>
    <w:p>
      <w:pPr>
        <w:jc w:val="left"/>
      </w:pPr>
      <w:r>
        <w:t xml:space="preserve">Namens und im Auftrag des Angeklagten </w:t>
      </w:r>
      <w:r>
        <w:rPr>
          <w:b/>
        </w:rPr>
        <w:t>Daniel Albert Bankert</w:t>
      </w:r>
      <w:r>
        <w:t xml:space="preserve"> beantrage ich,</w:t>
      </w:r>
    </w:p>
    <w:p>
      <w:pPr>
        <w:jc w:val="left"/>
      </w:pPr>
      <w:r>
        <w:t xml:space="preserve">in der Hauptverhandlung ein </w:t>
      </w:r>
      <w:r>
        <w:rPr>
          <w:b/>
        </w:rPr>
        <w:t>Sachverständigengutachten</w:t>
      </w:r>
      <w:r>
        <w:t xml:space="preserve"> eines unabhängigen, öffentlich bestellten und vereidigten Sachverständigen für Maschinenbewertung / Investitionsgüter zum Beweis der folgenden Tatsachen einzuholen:</w:t>
      </w:r>
    </w:p>
    <w:p/>
    <w:p>
      <w:pPr>
        <w:pStyle w:val="Heading3"/>
      </w:pPr>
      <w:r>
        <w:rPr>
          <w:rFonts w:ascii="Times New Roman" w:hAnsi="Times New Roman"/>
        </w:rPr>
        <w:t>Beweisthema</w:t>
      </w:r>
    </w:p>
    <w:p>
      <w:pPr>
        <w:jc w:val="left"/>
      </w:pPr>
      <w:r>
        <w:rPr>
          <w:b/>
        </w:rPr>
        <w:t>1. Marktwert der gelieferten Anlagen zum Zeitpunkt der jeweiligen Lieferung</w:t>
      </w:r>
    </w:p>
    <w:p>
      <w:pPr>
        <w:jc w:val="left"/>
      </w:pPr>
      <w:r>
        <w:t>Der von der Staatsanwaltschaft angenommene Schaden in Höhe von 4.300.000 EUR beruht ausschließlich auf dem Gutachten des Sachverständigenbüros Tremblay &amp; Partner (Bd. XI, Bl. 2140–2368). Beweis für folgende Tatsachen soll erhoben werden:</w:t>
      </w:r>
    </w:p>
    <w:p>
      <w:pPr>
        <w:ind w:left="567"/>
      </w:pPr>
      <w:r>
        <w:rPr>
          <w:i/>
        </w:rPr>
        <w:t>Die von der Bankert Industrieautomation GmbH an die ABC Großabnehmer SE in den Jahren 2019 bis 2022 im Rahmen der 14 Verträge gelieferten Industrieanlagen (Automatisierungskomponenten, Liste gemäß Anlagenverzeichnis der Anklageschrift) hatten zum jeweiligen Lieferzeitpunkt einen Marktwert, der den vereinbarten Kaufpreis um nicht mehr als 10 Prozent unterschritt.</w:t>
      </w:r>
    </w:p>
    <w:p>
      <w:pPr>
        <w:jc w:val="left"/>
      </w:pPr>
      <w:r>
        <w:rPr>
          <w:b/>
        </w:rPr>
        <w:t>2. Funktionsfähigkeit und tatsächlicher Nutzwert der gelieferten Anlagen</w:t>
      </w:r>
    </w:p>
    <w:p>
      <w:pPr>
        <w:ind w:left="567"/>
      </w:pPr>
      <w:r>
        <w:rPr>
          <w:i/>
        </w:rPr>
        <w:t>Die gelieferten Anlagen wiesen zum Zeitpunkt der Lieferung eine Funktionsfähigkeit auf, die mit der in den Angeboten beschriebenen technischen Leistung weitgehend übereinstimmte. Etwaige Abweichungen führten bei sachgerechtem Betrieb nicht zu einem Minderwert, der den jeweils vereinbarten Kaufpreis erheblich übersteigt.</w:t>
      </w:r>
    </w:p>
    <w:p>
      <w:pPr>
        <w:jc w:val="left"/>
      </w:pPr>
      <w:r>
        <w:rPr>
          <w:b/>
        </w:rPr>
        <w:t>3. Üblichkeit von Remanufactured-Anlagen im Markt für Industrieautomation</w:t>
      </w:r>
    </w:p>
    <w:p>
      <w:pPr>
        <w:ind w:left="567"/>
      </w:pPr>
      <w:r>
        <w:rPr>
          <w:i/>
        </w:rPr>
        <w:t>Im Markt für Industrieautomation und Robotertechnik ist der Einsatz von sog. „Remanufactured"- oder „Refurbished"-Anlagen in der mittelständischen Fertigungsindustrie gängige Praxis. Solche Anlagen werden zu Marktpreisen angeboten und erbringen typischerweise Leistungen, die denen von Neuanlagen vergleichbar sind. Eine pauschale Gleichsetzung von „Remanufactured" mit „minderwertig" widerspricht dem Stand der Branche.</w:t>
      </w:r>
    </w:p>
    <w:p/>
    <w:p>
      <w:pPr>
        <w:pStyle w:val="Heading3"/>
      </w:pPr>
      <w:r>
        <w:rPr>
          <w:rFonts w:ascii="Times New Roman" w:hAnsi="Times New Roman"/>
        </w:rPr>
        <w:t>Begründung</w:t>
      </w:r>
    </w:p>
    <w:p>
      <w:pPr>
        <w:pStyle w:val="Heading3"/>
      </w:pPr>
      <w:r>
        <w:rPr>
          <w:rFonts w:ascii="Times New Roman" w:hAnsi="Times New Roman"/>
        </w:rPr>
        <w:t>I. Mängel des Gutachtens Tremblay &amp; Partner</w:t>
      </w:r>
    </w:p>
    <w:p>
      <w:pPr>
        <w:jc w:val="left"/>
      </w:pPr>
      <w:r>
        <w:t>Das Gutachten des Sachverständigenbüros Tremblay &amp; Partner, auf das die Anklage den Schadensbetrag von 4.300.000 EUR stützt, weist nach Einschätzung der Verteidigung erhebliche methodische Mängel auf:</w:t>
      </w:r>
    </w:p>
    <w:p>
      <w:pPr>
        <w:jc w:val="left"/>
      </w:pPr>
      <w:r>
        <w:rPr>
          <w:b/>
        </w:rPr>
        <w:t>a) Fehlende Berücksichtigung des Gebrauchtwertmarkts:</w:t>
      </w:r>
    </w:p>
    <w:p>
      <w:pPr>
        <w:jc w:val="left"/>
      </w:pPr>
      <w:r>
        <w:t>Das Gutachten geht pauschal vom Neupreis als Vergleichsgröße aus und setzt die gelieferten Anlagen vollständig als wertlos an, soweit sie als Remanufactured-Ware identifiziert wurden. Diese Methodik entspricht nicht den Grundsätzen der Maschinenbewertung nach IDW S1 bzw. den einschlägigen VDMA-Leitlinien. Eine korrekte Bewertung müsste den tatsächlichen Gebrauchtwert der gelieferten Anlagen zum Lieferzeitpunkt ermitteln.</w:t>
      </w:r>
    </w:p>
    <w:p>
      <w:pPr>
        <w:jc w:val="left"/>
      </w:pPr>
      <w:r>
        <w:rPr>
          <w:b/>
        </w:rPr>
        <w:t>b) Keine Berücksichtigung der tatsächlichen Nutzung:</w:t>
      </w:r>
    </w:p>
    <w:p>
      <w:pPr>
        <w:jc w:val="left"/>
      </w:pPr>
      <w:r>
        <w:t>Mehrere der gelieferten Anlagen wurden von der ABC SE nach eigenen Angaben mehrere Jahre lang im Betrieb eingesetzt, ohne dass wesentliche Betriebsstörungen aufgetreten wären (vgl. Wartungsberichte, Bd. X, Bl. 2020–2048). Anlagen, die jahrelang störungsfrei genutzt wurden, können nicht als „wertlos" bewertet werden.</w:t>
      </w:r>
    </w:p>
    <w:p>
      <w:pPr>
        <w:jc w:val="left"/>
      </w:pPr>
      <w:r>
        <w:rPr>
          <w:b/>
        </w:rPr>
        <w:t>c) Qualifikation des Sachverständigenbüros:</w:t>
      </w:r>
    </w:p>
    <w:p>
      <w:pPr>
        <w:jc w:val="left"/>
      </w:pPr>
      <w:r>
        <w:t>Das Büro Tremblay &amp; Partner ist, soweit der Verteidigung bekannt, nicht öffentlich bestellt und vereidigt im Bereich Maschinenbewertung/Investitionsgüter. Eine Qualifikationsüberprüfung erscheint geboten.</w:t>
      </w:r>
    </w:p>
    <w:p>
      <w:pPr>
        <w:pStyle w:val="Heading3"/>
      </w:pPr>
      <w:r>
        <w:rPr>
          <w:rFonts w:ascii="Times New Roman" w:hAnsi="Times New Roman"/>
        </w:rPr>
        <w:t>II. Rechtlicher Rahmen</w:t>
      </w:r>
    </w:p>
    <w:p>
      <w:pPr>
        <w:jc w:val="left"/>
      </w:pPr>
      <w:r>
        <w:t>Gemäß § 244 Abs. 3 S. 1 StPO darf ein Beweisantrag auf Einholung eines Sachverständigengutachtens nur abgelehnt werden, wenn die Tatsache, die bewiesen werden soll, für die Entscheidung ohne Bedeutung ist, wenn das Gegenteil der Tatsache bereits erwiesen ist oder wenn der Beweis durch andere Beweismittel genügend erbracht ist. Keine dieser Voraussetzungen liegt vor:</w:t>
      </w:r>
    </w:p>
    <w:p>
      <w:pPr>
        <w:pStyle w:val="ListBullet"/>
      </w:pPr>
      <w:r>
        <w:t>Die Schadenshöhe ist unmittelbar entscheidungsrelevant für die Frage der Strafbarkeit nach § 263 StGB und für die Strafzumessung.</w:t>
      </w:r>
    </w:p>
    <w:p>
      <w:pPr>
        <w:pStyle w:val="ListBullet"/>
      </w:pPr>
      <w:r>
        <w:t>Das Gegenteil ist durch das Gutachten Tremblay &amp; Partner nicht bewiesen, weil dieses methodisch angreifbar ist.</w:t>
      </w:r>
    </w:p>
    <w:p>
      <w:pPr>
        <w:pStyle w:val="ListBullet"/>
      </w:pPr>
      <w:r>
        <w:t>Ein anderes Beweismittel, das den tatsächlichen Marktwert der gelieferten Anlagen ermittelt, liegt nicht vor.</w:t>
      </w:r>
    </w:p>
    <w:p>
      <w:pPr>
        <w:jc w:val="left"/>
      </w:pPr>
      <w:r>
        <w:t>Die Anordnung eines Gegengutachtens ist nach ständiger Rechtsprechung des BGH geboten, wenn das vorliegende Gutachten methodische Schwächen aufweist oder wenn die Verteidigung substantiierte Einwände erhebt (BGH, Urteil vom 08.12.2011 — 1 StR 430/11; BGH, Beschluss vom 07.10.2003 — 1 StR 385/03).</w:t>
      </w:r>
    </w:p>
    <w:p/>
    <w:p>
      <w:pPr>
        <w:pStyle w:val="Heading3"/>
      </w:pPr>
      <w:r>
        <w:rPr>
          <w:rFonts w:ascii="Times New Roman" w:hAnsi="Times New Roman"/>
        </w:rPr>
        <w:t>Sachverständigenvorschlag</w:t>
      </w:r>
    </w:p>
    <w:p>
      <w:pPr>
        <w:jc w:val="left"/>
      </w:pPr>
      <w:r>
        <w:t>Die Verteidigung schlägt als Sachverständigen vor:</w:t>
      </w:r>
    </w:p>
    <w:p>
      <w:pPr>
        <w:jc w:val="left"/>
      </w:pPr>
      <w:r>
        <w:rPr>
          <w:b/>
        </w:rPr>
        <w:t>Prof. Dr.-Ing. Klaus Helbig</w:t>
      </w:r>
    </w:p>
    <w:p>
      <w:pPr>
        <w:jc w:val="left"/>
      </w:pPr>
      <w:r>
        <w:t>Öffentlich bestellter und vereidigter Sachverständiger für Maschinenbewertung und Investitionsgüter</w:t>
      </w:r>
    </w:p>
    <w:p>
      <w:pPr>
        <w:jc w:val="left"/>
      </w:pPr>
      <w:r>
        <w:t>Technische Universität Darmstadt, Institut für Fertigungstechnik</w:t>
      </w:r>
    </w:p>
    <w:p>
      <w:pPr>
        <w:jc w:val="left"/>
      </w:pPr>
      <w:r>
        <w:t>(Alternativ: einen vom Gericht benannten Sachverständigen aus der Liste der IHK Frankfurt)</w:t>
      </w:r>
    </w:p>
    <w:p/>
    <w:p>
      <w:pPr>
        <w:pStyle w:val="Heading3"/>
      </w:pPr>
      <w:r>
        <w:rPr>
          <w:rFonts w:ascii="Times New Roman" w:hAnsi="Times New Roman"/>
        </w:rPr>
        <w:t>Antrag</w:t>
      </w:r>
    </w:p>
    <w:p>
      <w:pPr>
        <w:jc w:val="left"/>
      </w:pPr>
      <w:r>
        <w:t>Ich beantrage,</w:t>
      </w:r>
    </w:p>
    <w:p>
      <w:pPr>
        <w:pStyle w:val="ListNumber"/>
      </w:pPr>
      <w:r>
        <w:t>einen unabhängigen, öffentlich bestellten und vereidigten Sachverständigen für Maschinenbewertung zu bestellen,</w:t>
      </w:r>
    </w:p>
    <w:p>
      <w:pPr>
        <w:pStyle w:val="ListNumber"/>
      </w:pPr>
      <w:r>
        <w:t>diesem den vollständigen Akteninhalt zu den 14 Lieferverträgen sowie die sichergestellten Maschinen (soweit noch verfügbar) zur Begutachtung zu übermitteln,</w:t>
      </w:r>
    </w:p>
    <w:p>
      <w:pPr>
        <w:pStyle w:val="ListNumber"/>
      </w:pPr>
      <w:r>
        <w:t>das Gutachten Tremblay &amp; Partner dem Gegensachverständigen vorzulegen und ihn zur kritischen Überprüfung der dort angewandten Methodik zu verpflichten,</w:t>
      </w:r>
    </w:p>
    <w:p>
      <w:pPr>
        <w:pStyle w:val="ListNumber"/>
      </w:pPr>
      <w:r>
        <w:t>den Sachverständigen in der Hauptverhandlung zu befragen.</w:t>
      </w:r>
    </w:p>
    <w:p>
      <w:pPr>
        <w:jc w:val="left"/>
      </w:pPr>
      <w:r>
        <w:t>Mit freundlichen kollegialen Grüßen</w:t>
      </w:r>
    </w:p>
    <w:p>
      <w:pPr>
        <w:jc w:val="left"/>
      </w:pPr>
      <w:r>
        <w:rPr>
          <w:b/>
        </w:rPr>
        <w:t>Dr. Friederike Marx</w:t>
      </w:r>
    </w:p>
    <w:p>
      <w:pPr>
        <w:jc w:val="left"/>
      </w:pPr>
      <w:r>
        <w:t>Fachanwältin für Strafrecht</w:t>
      </w:r>
    </w:p>
    <w:p>
      <w:pPr>
        <w:jc w:val="left"/>
      </w:pPr>
      <w:r>
        <w:t>Marx Strafverteidigung Frankfurt</w:t>
      </w:r>
    </w:p>
    <w:p/>
    <w:p>
      <w:pPr>
        <w:jc w:val="left"/>
      </w:pPr>
      <w:r>
        <w:rPr>
          <w:i/>
        </w:rPr>
        <w:t>Az. LG Frankfurt: 5/28 KLs 122/25 — Az. StA: 5400 Js 14782/24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Frankfurt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