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Durchsuchungsbeschluss — Kanzleiräume Marx Strafverteidigung Frankfurt</w:t>
      </w:r>
    </w:p>
    <w:p>
      <w:pPr>
        <w:jc w:val="left"/>
      </w:pPr>
      <w:r>
        <w:rPr>
          <w:b/>
        </w:rPr>
        <w:t>[KOPIE — Vollstrecktes Exemplar, gemäß § 98 StPO zugestellt, jetzt in Verteidigungsakte]</w:t>
      </w:r>
    </w:p>
    <w:p/>
    <w:p>
      <w:pPr>
        <w:jc w:val="left"/>
      </w:pPr>
      <w:r>
        <w:rPr>
          <w:b/>
        </w:rPr>
        <w:t>AMTSGERICHT FRANKFURT AM MAIN</w:t>
      </w:r>
    </w:p>
    <w:p>
      <w:pPr>
        <w:jc w:val="left"/>
      </w:pPr>
      <w:r>
        <w:t>Ermittlungsrichterin</w:t>
      </w:r>
    </w:p>
    <w:p>
      <w:pPr>
        <w:jc w:val="left"/>
      </w:pPr>
      <w:r>
        <w:t xml:space="preserve">Az.: </w:t>
      </w:r>
      <w:r>
        <w:rPr>
          <w:b/>
        </w:rPr>
        <w:t>942 Gs 2847/25</w:t>
      </w:r>
    </w:p>
    <w:p>
      <w:pPr>
        <w:jc w:val="left"/>
      </w:pPr>
      <w:r>
        <w:t>(Verweisungsverfahren: StA Frankfurt am Main, Az. 5400 Js 14782/24)</w:t>
      </w:r>
    </w:p>
    <w:p/>
    <w:p>
      <w:pPr>
        <w:pStyle w:val="Heading2"/>
      </w:pPr>
      <w:r>
        <w:rPr>
          <w:rFonts w:ascii="Times New Roman" w:hAnsi="Times New Roman"/>
        </w:rPr>
        <w:t>BESCHLUSS</w:t>
      </w:r>
    </w:p>
    <w:p>
      <w:pPr>
        <w:jc w:val="left"/>
      </w:pPr>
      <w:r>
        <w:rPr>
          <w:b/>
        </w:rPr>
        <w:t>Frankfurt am Main, 10. März 2025</w:t>
      </w:r>
    </w:p>
    <w:p>
      <w:pPr>
        <w:jc w:val="left"/>
      </w:pPr>
      <w:r>
        <w:t>In dem Ermittlungsverfahren gegen</w:t>
      </w:r>
    </w:p>
    <w:p>
      <w:pPr>
        <w:jc w:val="left"/>
      </w:pPr>
      <w:r>
        <w:rPr>
          <w:b/>
        </w:rPr>
        <w:t>Bankert, Daniel Albert</w:t>
      </w:r>
      <w:r>
        <w:t xml:space="preserve"> (Beschuldigter)</w:t>
      </w:r>
    </w:p>
    <w:p>
      <w:pPr>
        <w:jc w:val="left"/>
      </w:pPr>
      <w:r>
        <w:t>wird auf Antrag der Staatsanwaltschaft Frankfurt am Main vom 07. März 2025</w:t>
      </w:r>
    </w:p>
    <w:p>
      <w:pPr>
        <w:jc w:val="left"/>
      </w:pPr>
      <w:r>
        <w:t xml:space="preserve">die </w:t>
      </w:r>
      <w:r>
        <w:rPr>
          <w:b/>
        </w:rPr>
        <w:t>Durchsuchung</w:t>
      </w:r>
      <w:r>
        <w:t xml:space="preserve"> der Kanzleiräume der Rechtsanwältin</w:t>
      </w:r>
    </w:p>
    <w:p>
      <w:pPr>
        <w:jc w:val="left"/>
      </w:pPr>
      <w:r>
        <w:rPr>
          <w:b/>
        </w:rPr>
        <w:t>Dr. Friederike Marx, Marx Strafverteidigung Frankfurt</w:t>
      </w:r>
    </w:p>
    <w:p>
      <w:pPr>
        <w:jc w:val="left"/>
      </w:pPr>
      <w:r>
        <w:t>Bockenheimer Landstraße 84, 60323 Frankfurt am Main</w:t>
      </w:r>
    </w:p>
    <w:p>
      <w:pPr>
        <w:jc w:val="left"/>
      </w:pPr>
      <w:r>
        <w:t>(alle zugänglichen Büroräume, Kanzleiarchiv, Serverraum)</w:t>
      </w:r>
    </w:p>
    <w:p>
      <w:pPr>
        <w:jc w:val="left"/>
      </w:pPr>
      <w:r>
        <w:t xml:space="preserve">gemäß </w:t>
      </w:r>
      <w:r>
        <w:rPr>
          <w:b/>
        </w:rPr>
        <w:t>§§ 102, 103 StPO</w:t>
      </w:r>
      <w:r>
        <w:t xml:space="preserve"> angeordnet.</w:t>
      </w:r>
    </w:p>
    <w:p/>
    <w:p>
      <w:pPr>
        <w:pStyle w:val="Heading3"/>
      </w:pPr>
      <w:r>
        <w:rPr>
          <w:rFonts w:ascii="Times New Roman" w:hAnsi="Times New Roman"/>
        </w:rPr>
        <w:t>I. Durchsuchungszweck</w:t>
      </w:r>
    </w:p>
    <w:p>
      <w:pPr>
        <w:jc w:val="left"/>
      </w:pPr>
      <w:r>
        <w:t>Die Durchsuchung dient der Auffindung und Sicherstellung von Beweismitteln, die für das Ermittlungsverfahren gegen den Beschuldigten Bankert bedeutsam sein können, insbesondere:</w:t>
      </w:r>
    </w:p>
    <w:p>
      <w:pPr>
        <w:pStyle w:val="ListNumber"/>
      </w:pPr>
      <w:r>
        <w:t>Schriftliche oder digitale Korrespondenz zwischen der Beschuldigten Kanzlei und Daniel Albert Bankert, sofern sie Hinweise auf die vorgeworfenen Straftaten (§§ 263, 266, 334 StGB, § 370 AO) enthält,</w:t>
      </w:r>
    </w:p>
    <w:p>
      <w:pPr>
        <w:pStyle w:val="ListNumber"/>
      </w:pPr>
      <w:r>
        <w:t>Verträge, Rechnungen oder sonstige Unterlagen, die Geldflüsse zwischen der Bankert Industrieautomation GmbH und der Kanzlei oder Dritten dokumentieren,</w:t>
      </w:r>
    </w:p>
    <w:p>
      <w:pPr>
        <w:pStyle w:val="ListNumber"/>
      </w:pPr>
      <w:r>
        <w:t>Unterlagen, aus denen die Verwendung von Erlösen aus den mutmaßlichen Straftaten hervorgeht,</w:t>
      </w:r>
    </w:p>
    <w:p>
      <w:pPr>
        <w:pStyle w:val="ListNumber"/>
      </w:pPr>
      <w:r>
        <w:t>Datenträger (Computer, externe Festplatten, USB-Sticks, Smartphones) mit mandatsbezogenen Kommunikationsdaten.</w:t>
      </w:r>
    </w:p>
    <w:p/>
    <w:p>
      <w:pPr>
        <w:pStyle w:val="Heading3"/>
      </w:pPr>
      <w:r>
        <w:rPr>
          <w:rFonts w:ascii="Times New Roman" w:hAnsi="Times New Roman"/>
        </w:rPr>
        <w:t>II. Rechtliche Grundlage</w:t>
      </w:r>
    </w:p>
    <w:p>
      <w:pPr>
        <w:jc w:val="left"/>
      </w:pPr>
      <w:r>
        <w:rPr>
          <w:b/>
        </w:rPr>
        <w:t>§ 103 StPO</w:t>
      </w:r>
      <w:r>
        <w:t xml:space="preserve"> erlaubt die Durchsuchung bei nicht verdächtigen Dritten, wenn Tatsachen vorliegen, aus denen zu schließen ist, dass die gesuchten Spuren oder Gegenstände sich in den zu durchsuchenden Räumen befinden. Die Staatsanwaltschaft hat in ihrem Antrag ausgeführt, dass aufgefundene Kommunikation zwischen Bankert und der Kanzlei auf mögliche Kenntnisse über Vermögensverschiebungen hindeutet.</w:t>
      </w:r>
    </w:p>
    <w:p>
      <w:pPr>
        <w:jc w:val="left"/>
      </w:pPr>
      <w:r>
        <w:rPr>
          <w:b/>
        </w:rPr>
        <w:t>Einschränkung (§ 97 StPO):</w:t>
      </w:r>
      <w:r>
        <w:t xml:space="preserve"> Der Beschluss ordnet ausdrücklich an, dass der Durchsuchung und Sicherstellung unterliegen die betreffenden Gegenstände und Dokumente </w:t>
      </w:r>
      <w:r>
        <w:rPr>
          <w:b/>
        </w:rPr>
        <w:t>nur insoweit, als sie nicht dem Beschlagnahmeverbot des § 97 StPO unterfallen</w:t>
      </w:r>
      <w:r>
        <w:t xml:space="preserve"> (Berufsgeheimnisträger, Verteidigungsunterlagen). Die Entscheidung über die Beschlagnahmefähigkeit im Einzelfall bleibt dem Richter vorbehalten.</w:t>
      </w:r>
    </w:p>
    <w:p/>
    <w:p>
      <w:pPr>
        <w:pStyle w:val="Heading3"/>
      </w:pPr>
      <w:r>
        <w:rPr>
          <w:rFonts w:ascii="Times New Roman" w:hAnsi="Times New Roman"/>
        </w:rPr>
        <w:t>III. Vollzug</w:t>
      </w:r>
    </w:p>
    <w:p>
      <w:pPr>
        <w:jc w:val="left"/>
      </w:pPr>
      <w:r>
        <w:rPr>
          <w:b/>
        </w:rPr>
        <w:t>Datum und Uhrzeit des Vollzugs:</w:t>
      </w:r>
      <w:r>
        <w:t xml:space="preserve"> Dienstag, 11. März 2025, 06:30 Uhr</w:t>
      </w:r>
    </w:p>
    <w:p>
      <w:pPr>
        <w:jc w:val="left"/>
      </w:pPr>
      <w:r>
        <w:rPr>
          <w:b/>
        </w:rPr>
        <w:t>Vollzugsbehörde:</w:t>
      </w:r>
      <w:r>
        <w:t xml:space="preserve"> Kriminalpolizei Frankfurt am Main, KK 34 (Wirtschaftskriminalität), KHK Steffen Brauer</w:t>
      </w:r>
    </w:p>
    <w:p>
      <w:pPr>
        <w:jc w:val="left"/>
      </w:pPr>
      <w:r>
        <w:rPr>
          <w:b/>
        </w:rPr>
        <w:t>Anwesende:</w:t>
      </w:r>
      <w:r>
        <w:t xml:space="preserve"> KHK Brauer, 3 Beamte KPD Frankfurt, Ermittlungsrichterin AG Frankfurt (telefonisch zugeschaltet)</w:t>
      </w:r>
    </w:p>
    <w:p>
      <w:pPr>
        <w:jc w:val="left"/>
      </w:pPr>
      <w:r>
        <w:rPr>
          <w:b/>
        </w:rPr>
        <w:t>Dauer:</w:t>
      </w:r>
      <w:r>
        <w:t xml:space="preserve"> 06:30–13:15 Uhr</w:t>
      </w:r>
    </w:p>
    <w:p>
      <w:pPr>
        <w:jc w:val="left"/>
      </w:pPr>
      <w:r>
        <w:rPr>
          <w:b/>
        </w:rPr>
        <w:t>Sichergestellte Gegenstände (Kurzverzeichnis):</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Nr.</w:t>
            </w:r>
          </w:p>
        </w:tc>
        <w:tc>
          <w:tcPr>
            <w:tcW w:type="dxa" w:w="3024"/>
          </w:tcPr>
          <w:p>
            <w:r>
              <w:rPr>
                <w:rFonts w:ascii="Times New Roman" w:hAnsi="Times New Roman"/>
                <w:b/>
                <w:sz w:val="20"/>
              </w:rPr>
              <w:t>Gegenstand</w:t>
            </w:r>
          </w:p>
        </w:tc>
        <w:tc>
          <w:tcPr>
            <w:tcW w:type="dxa" w:w="3024"/>
          </w:tcPr>
          <w:p>
            <w:r>
              <w:rPr>
                <w:rFonts w:ascii="Times New Roman" w:hAnsi="Times New Roman"/>
                <w:b/>
                <w:sz w:val="20"/>
              </w:rPr>
              <w:t>Verbleib</w:t>
            </w:r>
          </w:p>
        </w:tc>
      </w:tr>
      <w:tr>
        <w:tc>
          <w:tcPr>
            <w:tcW w:type="dxa" w:w="3024"/>
          </w:tcPr>
          <w:p>
            <w:r>
              <w:rPr>
                <w:rFonts w:ascii="Times New Roman" w:hAnsi="Times New Roman"/>
                <w:sz w:val="20"/>
              </w:rPr>
              <w:t>1</w:t>
            </w:r>
          </w:p>
        </w:tc>
        <w:tc>
          <w:tcPr>
            <w:tcW w:type="dxa" w:w="3024"/>
          </w:tcPr>
          <w:p>
            <w:r>
              <w:rPr>
                <w:rFonts w:ascii="Times New Roman" w:hAnsi="Times New Roman"/>
                <w:sz w:val="20"/>
              </w:rPr>
              <w:t>Laptop Dell Latitude 7420 (Büro Dr. Marx, Arbeitsplatz)</w:t>
            </w:r>
          </w:p>
        </w:tc>
        <w:tc>
          <w:tcPr>
            <w:tcW w:type="dxa" w:w="3024"/>
          </w:tcPr>
          <w:p>
            <w:r>
              <w:rPr>
                <w:rFonts w:ascii="Times New Roman" w:hAnsi="Times New Roman"/>
                <w:sz w:val="20"/>
              </w:rPr>
              <w:t>KPD Frankfurt KK 34, Asservatennr. 2025/03/11-001</w:t>
            </w:r>
          </w:p>
        </w:tc>
      </w:tr>
      <w:tr>
        <w:tc>
          <w:tcPr>
            <w:tcW w:type="dxa" w:w="3024"/>
          </w:tcPr>
          <w:p>
            <w:r>
              <w:rPr>
                <w:rFonts w:ascii="Times New Roman" w:hAnsi="Times New Roman"/>
                <w:sz w:val="20"/>
              </w:rPr>
              <w:t>2</w:t>
            </w:r>
          </w:p>
        </w:tc>
        <w:tc>
          <w:tcPr>
            <w:tcW w:type="dxa" w:w="3024"/>
          </w:tcPr>
          <w:p>
            <w:r>
              <w:rPr>
                <w:rFonts w:ascii="Times New Roman" w:hAnsi="Times New Roman"/>
                <w:sz w:val="20"/>
              </w:rPr>
              <w:t>USB-Stick (SanDisk, 64 GB, Schlüsselbund Dr. Marx)</w:t>
            </w:r>
          </w:p>
        </w:tc>
        <w:tc>
          <w:tcPr>
            <w:tcW w:type="dxa" w:w="3024"/>
          </w:tcPr>
          <w:p>
            <w:r>
              <w:rPr>
                <w:rFonts w:ascii="Times New Roman" w:hAnsi="Times New Roman"/>
                <w:sz w:val="20"/>
              </w:rPr>
              <w:t>KPD Frankfurt, Asservatennr. 2025/03/11-002</w:t>
            </w:r>
          </w:p>
        </w:tc>
      </w:tr>
      <w:tr>
        <w:tc>
          <w:tcPr>
            <w:tcW w:type="dxa" w:w="3024"/>
          </w:tcPr>
          <w:p>
            <w:r>
              <w:rPr>
                <w:rFonts w:ascii="Times New Roman" w:hAnsi="Times New Roman"/>
                <w:sz w:val="20"/>
              </w:rPr>
              <w:t>3</w:t>
            </w:r>
          </w:p>
        </w:tc>
        <w:tc>
          <w:tcPr>
            <w:tcW w:type="dxa" w:w="3024"/>
          </w:tcPr>
          <w:p>
            <w:r>
              <w:rPr>
                <w:rFonts w:ascii="Times New Roman" w:hAnsi="Times New Roman"/>
                <w:sz w:val="20"/>
              </w:rPr>
              <w:t>Aktenordner „Bankert — Vorakten 2024" (Archivraum)</w:t>
            </w:r>
          </w:p>
        </w:tc>
        <w:tc>
          <w:tcPr>
            <w:tcW w:type="dxa" w:w="3024"/>
          </w:tcPr>
          <w:p>
            <w:r>
              <w:rPr>
                <w:rFonts w:ascii="Times New Roman" w:hAnsi="Times New Roman"/>
                <w:sz w:val="20"/>
              </w:rPr>
              <w:t>KPD Frankfurt, Asservatennr. 2025/03/11-003</w:t>
            </w:r>
          </w:p>
        </w:tc>
      </w:tr>
      <w:tr>
        <w:tc>
          <w:tcPr>
            <w:tcW w:type="dxa" w:w="3024"/>
          </w:tcPr>
          <w:p>
            <w:r>
              <w:rPr>
                <w:rFonts w:ascii="Times New Roman" w:hAnsi="Times New Roman"/>
                <w:sz w:val="20"/>
              </w:rPr>
              <w:t>4</w:t>
            </w:r>
          </w:p>
        </w:tc>
        <w:tc>
          <w:tcPr>
            <w:tcW w:type="dxa" w:w="3024"/>
          </w:tcPr>
          <w:p>
            <w:r>
              <w:rPr>
                <w:rFonts w:ascii="Times New Roman" w:hAnsi="Times New Roman"/>
                <w:sz w:val="20"/>
              </w:rPr>
              <w:t>Aktenordner „Bankert — Vertragsunterlagen Liechtenstein"</w:t>
            </w:r>
          </w:p>
        </w:tc>
        <w:tc>
          <w:tcPr>
            <w:tcW w:type="dxa" w:w="3024"/>
          </w:tcPr>
          <w:p>
            <w:r>
              <w:rPr>
                <w:rFonts w:ascii="Times New Roman" w:hAnsi="Times New Roman"/>
                <w:sz w:val="20"/>
              </w:rPr>
              <w:t>KPD Frankfurt, Asservatennr. 2025/03/11-004</w:t>
            </w:r>
          </w:p>
        </w:tc>
      </w:tr>
      <w:tr>
        <w:tc>
          <w:tcPr>
            <w:tcW w:type="dxa" w:w="3024"/>
          </w:tcPr>
          <w:p>
            <w:r>
              <w:rPr>
                <w:rFonts w:ascii="Times New Roman" w:hAnsi="Times New Roman"/>
                <w:sz w:val="20"/>
              </w:rPr>
              <w:t>5</w:t>
            </w:r>
          </w:p>
        </w:tc>
        <w:tc>
          <w:tcPr>
            <w:tcW w:type="dxa" w:w="3024"/>
          </w:tcPr>
          <w:p>
            <w:r>
              <w:rPr>
                <w:rFonts w:ascii="Times New Roman" w:hAnsi="Times New Roman"/>
                <w:sz w:val="20"/>
              </w:rPr>
              <w:t>Smartphone iPhone 14 (Empfangstresen, Sekretariat)</w:t>
            </w:r>
          </w:p>
        </w:tc>
        <w:tc>
          <w:tcPr>
            <w:tcW w:type="dxa" w:w="3024"/>
          </w:tcPr>
          <w:p>
            <w:r>
              <w:rPr>
                <w:rFonts w:ascii="Times New Roman" w:hAnsi="Times New Roman"/>
                <w:sz w:val="20"/>
              </w:rPr>
              <w:t>KPD Frankfurt, Asservatennr. 2025/03/11-005</w:t>
            </w:r>
          </w:p>
        </w:tc>
      </w:tr>
      <w:tr>
        <w:tc>
          <w:tcPr>
            <w:tcW w:type="dxa" w:w="3024"/>
          </w:tcPr>
          <w:p>
            <w:r>
              <w:rPr>
                <w:rFonts w:ascii="Times New Roman" w:hAnsi="Times New Roman"/>
                <w:sz w:val="20"/>
              </w:rPr>
              <w:t>6</w:t>
            </w:r>
          </w:p>
        </w:tc>
        <w:tc>
          <w:tcPr>
            <w:tcW w:type="dxa" w:w="3024"/>
          </w:tcPr>
          <w:p>
            <w:r>
              <w:rPr>
                <w:rFonts w:ascii="Times New Roman" w:hAnsi="Times New Roman"/>
                <w:sz w:val="20"/>
              </w:rPr>
              <w:t>Server-Backup-Festplatte (Serverraum, 2 TB)</w:t>
            </w:r>
          </w:p>
        </w:tc>
        <w:tc>
          <w:tcPr>
            <w:tcW w:type="dxa" w:w="3024"/>
          </w:tcPr>
          <w:p>
            <w:r>
              <w:rPr>
                <w:rFonts w:ascii="Times New Roman" w:hAnsi="Times New Roman"/>
                <w:sz w:val="20"/>
              </w:rPr>
              <w:t>KPD Frankfurt, Asservatennr. 2025/03/11-006</w:t>
            </w:r>
          </w:p>
        </w:tc>
      </w:tr>
    </w:tbl>
    <w:p/>
    <w:p>
      <w:pPr>
        <w:pStyle w:val="Heading3"/>
      </w:pPr>
      <w:r>
        <w:rPr>
          <w:rFonts w:ascii="Times New Roman" w:hAnsi="Times New Roman"/>
        </w:rPr>
        <w:t>IV. Anmerkung zur Sicherstellung</w:t>
      </w:r>
    </w:p>
    <w:p>
      <w:pPr>
        <w:jc w:val="left"/>
      </w:pPr>
      <w:r>
        <w:t xml:space="preserve">Dr. Marx hat bei Vollzug der Durchsuchung sofort Widerspruch gegen die Sicherstellung der Gegenstände Nr. 1–6 eingelegt und auf das </w:t>
      </w:r>
      <w:r>
        <w:rPr>
          <w:b/>
        </w:rPr>
        <w:t>Beschlagnahmeverbot nach § 97 Abs. 1 Nr. 1 und 3 StPO</w:t>
      </w:r>
      <w:r>
        <w:t xml:space="preserve"> sowie den </w:t>
      </w:r>
      <w:r>
        <w:rPr>
          <w:b/>
        </w:rPr>
        <w:t>besonderen Schutz der Verteidigungsunterlagen</w:t>
      </w:r>
      <w:r>
        <w:t xml:space="preserve"> hingewiesen. Die Ermittlungsrichterin hat die sofortige Siegelung der sichergestellten Gegenstände angeordnet; sie verbleiben versiegelt bei der Kriminalpolizei bis zur richterlichen Entscheidung über die Beschlagnahmefähigkeit.</w:t>
      </w:r>
    </w:p>
    <w:p>
      <w:pPr>
        <w:jc w:val="left"/>
      </w:pPr>
      <w:r>
        <w:t>Der förmliche Widerspruch gemäß § 98 Abs. 2 StPO wurde gleichzeitig eingelegt. Der Antrag auf richterliche Überprüfung und Aufhebung der Sicherstellungsmaßnahme ist Gegenstand von Aktenstück 10 dieser Akte.</w:t>
      </w:r>
    </w:p>
    <w:p/>
    <w:p>
      <w:pPr>
        <w:jc w:val="left"/>
      </w:pPr>
      <w:r>
        <w:rPr>
          <w:b/>
        </w:rPr>
        <w:t>Frankfurt am Main, 10. März 2025</w:t>
      </w:r>
    </w:p>
    <w:p>
      <w:pPr>
        <w:jc w:val="left"/>
      </w:pPr>
      <w:r>
        <w:t>Dr. Carolin Mayer</w:t>
      </w:r>
    </w:p>
    <w:p>
      <w:pPr>
        <w:jc w:val="left"/>
      </w:pPr>
      <w:r>
        <w:t>Richterin am Amtsgericht</w:t>
      </w:r>
    </w:p>
    <w:p>
      <w:pPr>
        <w:jc w:val="left"/>
      </w:pPr>
      <w:r>
        <w:t>— Ermittlungsrichterin —</w:t>
      </w:r>
    </w:p>
    <w:p>
      <w:pPr>
        <w:jc w:val="left"/>
      </w:pPr>
      <w:r>
        <w:rPr>
          <w:i/>
        </w:rPr>
        <w:t>(Siegel AG Frankfurt)</w:t>
      </w:r>
    </w:p>
    <w:p/>
    <w:p>
      <w:pPr>
        <w:jc w:val="left"/>
      </w:pPr>
      <w:r>
        <w:rPr>
          <w:i/>
        </w:rPr>
        <w:t>[Kopie — Az. AG Frankfurt: 942 Gs 2847/25 — Az. StA: 5400 Js 14782/24]</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FRANKFURT AM MAIN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FRANKFURT AM MAIN</w:t>
    </w:r>
  </w:p>
  <w:p>
    <w:pPr>
      <w:jc w:val="left"/>
      <w:pBdr>
        <w:bottom w:val="single" w:sz="6" w:space="2" w:color="3B3F45"/>
      </w:pBdr>
    </w:pPr>
    <w:r>
      <w:rPr>
        <w:rFonts w:ascii="Times New Roman" w:hAnsi="Times New Roman"/>
        <w:color w:val="6B6B66"/>
        <w:sz w:val="16"/>
      </w:rPr>
      <w:t>Gericht · Az.: 942 Gs 2847/25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