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Nebenklage — ABC Großabnehmer SE — Aktenvermerk und Bewertung</w:t>
      </w:r>
    </w:p>
    <w:p>
      <w:pPr>
        <w:jc w:val="left"/>
      </w:pPr>
      <w:r>
        <w:rPr>
          <w:b/>
        </w:rPr>
        <w:t>Marx Strafverteidigung Frankfurt</w:t>
      </w:r>
    </w:p>
    <w:p>
      <w:pPr>
        <w:jc w:val="left"/>
      </w:pPr>
      <w:r>
        <w:rPr>
          <w:b/>
        </w:rPr>
        <w:t>Vertraulich — Anwaltsgeheimnis § 53 StPO</w:t>
      </w:r>
    </w:p>
    <w:p>
      <w:pPr>
        <w:jc w:val="left"/>
      </w:pPr>
      <w:r>
        <w:t>Erstellt von: Dr. Friederike Marx</w:t>
      </w:r>
    </w:p>
    <w:p>
      <w:pPr>
        <w:jc w:val="left"/>
      </w:pPr>
      <w:r>
        <w:t>Datum: 08. Mai 2025</w:t>
      </w:r>
    </w:p>
    <w:p>
      <w:pPr>
        <w:jc w:val="left"/>
      </w:pPr>
      <w:r>
        <w:t>Az.: 5/28 KLs 122/25</w:t>
      </w:r>
    </w:p>
    <w:p/>
    <w:p>
      <w:pPr>
        <w:pStyle w:val="Heading2"/>
      </w:pPr>
      <w:r>
        <w:rPr>
          <w:rFonts w:ascii="Times New Roman" w:hAnsi="Times New Roman"/>
        </w:rPr>
        <w:t>1. Hintergrund</w:t>
      </w:r>
    </w:p>
    <w:p>
      <w:pPr>
        <w:jc w:val="left"/>
      </w:pPr>
      <w:r>
        <w:t xml:space="preserve">Die ABC Großabnehmer SE (Sitz: Eschborn, Taunus) hat sich mit Schriftsatz vom </w:t>
      </w:r>
      <w:r>
        <w:rPr>
          <w:b/>
        </w:rPr>
        <w:t>05. Mai 2025</w:t>
      </w:r>
      <w:r>
        <w:t xml:space="preserve"> dem Verfahren als Nebenklägerin angeschlossen. Die Nebenklägervertreterin ist:</w:t>
      </w:r>
    </w:p>
    <w:p>
      <w:pPr>
        <w:jc w:val="left"/>
      </w:pPr>
      <w:r>
        <w:rPr>
          <w:b/>
        </w:rPr>
        <w:t>Rechtsanwalt Michael Krämer</w:t>
      </w:r>
    </w:p>
    <w:p>
      <w:pPr>
        <w:jc w:val="left"/>
      </w:pPr>
      <w:r>
        <w:t>Krämer Hauck Rechtsanwälte</w:t>
      </w:r>
    </w:p>
    <w:p>
      <w:pPr>
        <w:jc w:val="left"/>
      </w:pPr>
      <w:r>
        <w:t>Mainzer Landstraße 50</w:t>
      </w:r>
    </w:p>
    <w:p>
      <w:pPr>
        <w:jc w:val="left"/>
      </w:pPr>
      <w:r>
        <w:t>60325 Frankfurt am Main</w:t>
      </w:r>
    </w:p>
    <w:p>
      <w:pPr>
        <w:jc w:val="left"/>
      </w:pPr>
      <w:r>
        <w:t xml:space="preserve">Der Anschluss der Nebenklage erfolgt gemäß </w:t>
      </w:r>
      <w:r>
        <w:rPr>
          <w:b/>
        </w:rPr>
        <w:t>§§ 395 Abs. 1, 396 StPO</w:t>
      </w:r>
      <w:r>
        <w:t>. Zulässig ist die Nebenklage für Verletzte der in § 395 Abs. 1 StPO genannten Delikte. Der gewerbsmäßige Betrug (§ 263 Abs. 3 StGB) ist in § 395 Abs. 1 Nr. 1 StPO nicht direkt genannt, jedoch erfasst § 395 Abs. 3 StPO auch Verletzte bei Straftaten, die im Wege der Adhäsion Schadensersatzansprüche begründen können.</w:t>
      </w:r>
    </w:p>
    <w:p>
      <w:pPr>
        <w:jc w:val="left"/>
      </w:pPr>
      <w:r>
        <w:rPr>
          <w:b/>
        </w:rPr>
        <w:t>Rechtliche Prüfung:</w:t>
      </w:r>
      <w:r>
        <w:t xml:space="preserve"> Die Nebenklageberechtigung der ABC SE im Rahmen eines Betrugsverfahrens ist nicht unumstritten. Die Nebenklage ist gemäß § 395 Abs. 1 Nr. 6 StPO nur bei besonders schweren Fällen von Körperverletzungsdelikten und ähnlichen Straftaten zulässig, nicht per se bei Vermögensdelikten wie § 263 StGB. Die Zulassung der Nebenklage steht unter dem Vorbehalt gerichtlicher Prüfung; die Kammer hat noch nicht entschieden.</w:t>
      </w:r>
    </w:p>
    <w:p>
      <w:pPr>
        <w:jc w:val="left"/>
      </w:pPr>
      <w:r>
        <w:rPr>
          <w:b/>
        </w:rPr>
        <w:t>Feststellung:</w:t>
      </w:r>
      <w:r>
        <w:t xml:space="preserve"> Die Verteidigung wird die Zulässigkeit der Nebenklage anfechten, soweit sie auf dem reinen Betrugsvorwurf beruht. Für den Bestechungsvorwurf (§ 334 StGB) kommt eine Nebenklage nach § 395 Abs. 1 Nr. 3 StPO in Betracht, wenn ABC SE als durch Bestechung Geschädigte gilt — was rechtlich ebenfalls nicht zweifelsfrei ist.</w:t>
      </w:r>
    </w:p>
    <w:p/>
    <w:p>
      <w:pPr>
        <w:pStyle w:val="Heading2"/>
      </w:pPr>
      <w:r>
        <w:rPr>
          <w:rFonts w:ascii="Times New Roman" w:hAnsi="Times New Roman"/>
        </w:rPr>
        <w:t>2. Adäsionsantrag der ABC Großabnehmer SE</w:t>
      </w:r>
    </w:p>
    <w:p>
      <w:pPr>
        <w:jc w:val="left"/>
      </w:pPr>
      <w:r>
        <w:t xml:space="preserve">Gleichzeitig mit dem Nebenklageanschluss wurde ein </w:t>
      </w:r>
      <w:r>
        <w:rPr>
          <w:b/>
        </w:rPr>
        <w:t>Adäsionsantrag</w:t>
      </w:r>
      <w:r>
        <w:t xml:space="preserve"> gemäß </w:t>
      </w:r>
      <w:r>
        <w:rPr>
          <w:b/>
        </w:rPr>
        <w:t>§§ 403 ff. StPO</w:t>
      </w:r>
      <w:r>
        <w:t xml:space="preserve"> gestellt:</w:t>
      </w:r>
    </w:p>
    <w:p>
      <w:pPr>
        <w:jc w:val="left"/>
      </w:pPr>
      <w:r>
        <w:rPr>
          <w:b/>
        </w:rPr>
        <w:t>Antragsteller:</w:t>
      </w:r>
      <w:r>
        <w:t xml:space="preserve"> ABC Großabnehmer SE, vertreten durch RA Krämer</w:t>
      </w:r>
    </w:p>
    <w:p>
      <w:pPr>
        <w:jc w:val="left"/>
      </w:pPr>
      <w:r>
        <w:rPr>
          <w:b/>
        </w:rPr>
        <w:t>Beklagter:</w:t>
      </w:r>
      <w:r>
        <w:t xml:space="preserve"> Daniel Albert Bankert</w:t>
      </w:r>
    </w:p>
    <w:p>
      <w:pPr>
        <w:jc w:val="left"/>
      </w:pPr>
      <w:r>
        <w:rPr>
          <w:b/>
        </w:rPr>
        <w:t>Antragsdatum:</w:t>
      </w:r>
      <w:r>
        <w:t xml:space="preserve"> 05. Mai 2025</w:t>
      </w:r>
    </w:p>
    <w:p>
      <w:pPr>
        <w:jc w:val="left"/>
      </w:pPr>
      <w:r>
        <w:rPr>
          <w:b/>
        </w:rPr>
        <w:t>Geltend gemachter Schadensersatz:</w:t>
      </w:r>
      <w:r>
        <w:t xml:space="preserve"> </w:t>
      </w:r>
      <w:r>
        <w:rPr>
          <w:b/>
        </w:rPr>
        <w:t>3.800.000 EUR</w:t>
      </w:r>
      <w:r>
        <w:t xml:space="preserve"> nebst Zinsen ab 01.01.2023 (5 Prozentpunkte über Basiszinssatz)</w:t>
      </w:r>
    </w:p>
    <w:p>
      <w:pPr>
        <w:jc w:val="left"/>
      </w:pPr>
      <w:r>
        <w:t>Der Betrag weicht von der in der Anklageschrift genannten Schadenshöhe (4.300.000 EUR) ab. RA Krämer begründet dies damit, dass die ABC SE auf interne Revisionskosten und Folgeschäden zunächst verzichtet und nur den unmittelbaren Kaufpreisschaden für die als wertminder eingestuften Anlagen geltend macht.</w:t>
      </w:r>
    </w:p>
    <w:p>
      <w:pPr>
        <w:jc w:val="left"/>
      </w:pPr>
      <w:r>
        <w:rPr>
          <w:b/>
        </w:rPr>
        <w:t>Rechtliche Grundlage des Adäsionsantrags:</w:t>
      </w:r>
    </w:p>
    <w:p>
      <w:pPr>
        <w:jc w:val="left"/>
      </w:pPr>
      <w:r>
        <w:t>§ 403 StPO ermöglicht es Verletzten, im Strafverfahren Schadensersatzansprüche geltend zu machen. Das Gericht entscheidet gemäß § 406 StPO im Urteil, wenn dies ohne Verzögerung des Verfahrens möglich ist, andernfalls wird von der Entscheidung abgesehen (§ 406 Abs. 1 S. 4 StPO) und der Zivilrechtsweg bleibt offen.</w:t>
      </w:r>
    </w:p>
    <w:p/>
    <w:p>
      <w:pPr>
        <w:pStyle w:val="Heading2"/>
      </w:pPr>
      <w:r>
        <w:rPr>
          <w:rFonts w:ascii="Times New Roman" w:hAnsi="Times New Roman"/>
        </w:rPr>
        <w:t>3. Strategische Bewertung aus Sicht der Verteidigung</w:t>
      </w:r>
    </w:p>
    <w:p>
      <w:pPr>
        <w:pStyle w:val="Heading3"/>
      </w:pPr>
      <w:r>
        <w:rPr>
          <w:rFonts w:ascii="Times New Roman" w:hAnsi="Times New Roman"/>
        </w:rPr>
        <w:t>3.1 Auswirkung auf das Strafverfahren</w:t>
      </w:r>
    </w:p>
    <w:p>
      <w:pPr>
        <w:jc w:val="left"/>
      </w:pPr>
      <w:r>
        <w:t>Die Nebenklage und der Adäsionsantrag erhöhen den Verfahrensdruck auf den Mandanten erheblich. RA Krämer gilt als aggressiver Prozessvertreter; er wird Beweisanträge stellen und eigene Zeugenlisten einreichen.</w:t>
      </w:r>
    </w:p>
    <w:p>
      <w:pPr>
        <w:jc w:val="left"/>
      </w:pPr>
      <w:r>
        <w:t>Die Nebenklägeranwälte haben das Recht, an der Hauptverhandlung teilzunehmen, Beweisanträge zu stellen, Zeugen zu befragen und eine Abschlussrede zu halten (§§ 397, 397a StPO). Dies verlängert die Hauptverhandlung erheblich.</w:t>
      </w:r>
    </w:p>
    <w:p>
      <w:pPr>
        <w:pStyle w:val="Heading3"/>
      </w:pPr>
      <w:r>
        <w:rPr>
          <w:rFonts w:ascii="Times New Roman" w:hAnsi="Times New Roman"/>
        </w:rPr>
        <w:t>3.2 Schadenshöhe</w:t>
      </w:r>
    </w:p>
    <w:p>
      <w:pPr>
        <w:jc w:val="left"/>
      </w:pPr>
      <w:r>
        <w:t>Der Adäsionsantrag über 3,8 Mio. EUR ist für das Strafverfahren insofern relevant, als das Gericht ihn bei der Strafzumessung berücksichtigen wird. Die Verteidigung muss hier eine eigene Schadensberechnung vorlegen (vgl. Anlage XLSX, Schadenstabelle).</w:t>
      </w:r>
    </w:p>
    <w:p>
      <w:pPr>
        <w:jc w:val="left"/>
      </w:pPr>
      <w:r>
        <w:t>Die Differenz zwischen dem Anklageschrift-Schaden (4,3 Mio. EUR) und dem Adäsionsantrag (3,8 Mio. EUR) legt nahe, dass die ABC SE selbst den angeblichen Schaden nicht vollständig belegen kann. Dies ist ein nützlicher Anhaltspunkt für die Hauptverhandlung.</w:t>
      </w:r>
    </w:p>
    <w:p>
      <w:pPr>
        <w:pStyle w:val="Heading3"/>
      </w:pPr>
      <w:r>
        <w:rPr>
          <w:rFonts w:ascii="Times New Roman" w:hAnsi="Times New Roman"/>
        </w:rPr>
        <w:t>3.3 Vergleichspotenzial im Adäsionsverfahren</w:t>
      </w:r>
    </w:p>
    <w:p>
      <w:pPr>
        <w:jc w:val="left"/>
      </w:pPr>
      <w:r>
        <w:t>Selbst wenn das Strafgericht den Adäsionsantrag annimmt, hat der Mandant in der Zivilsache ein eigenes Interesse an einem Vergleich. RA Krämer hat signalisiert, dass ein außergerichtlicher Vergleich für die ABC SE vorstellbar wäre, wenn die Kernsumme (ca. 2 Mio. EUR) gesichert ist.</w:t>
      </w:r>
    </w:p>
    <w:p>
      <w:pPr>
        <w:jc w:val="left"/>
      </w:pPr>
      <w:r>
        <w:rPr>
          <w:b/>
        </w:rPr>
        <w:t>Empfehlung:</w:t>
      </w:r>
      <w:r>
        <w:t xml:space="preserve"> Parallele Vergleichsgespräche mit RA Krämer nach Hauptverhandlungsbeginn erwägen.</w:t>
      </w:r>
    </w:p>
    <w:p/>
    <w:p>
      <w:pPr>
        <w:pStyle w:val="Heading2"/>
      </w:pPr>
      <w:r>
        <w:rPr>
          <w:rFonts w:ascii="Times New Roman" w:hAnsi="Times New Roman"/>
        </w:rPr>
        <w:t>4. Chronologie der Nebenklage-Korrespondenz</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Vorgang</w:t>
            </w:r>
          </w:p>
        </w:tc>
      </w:tr>
      <w:tr>
        <w:tc>
          <w:tcPr>
            <w:tcW w:type="dxa" w:w="4536"/>
          </w:tcPr>
          <w:p>
            <w:r>
              <w:rPr>
                <w:rFonts w:ascii="Times New Roman" w:hAnsi="Times New Roman"/>
                <w:sz w:val="20"/>
              </w:rPr>
              <w:t>10.04.2025</w:t>
            </w:r>
          </w:p>
        </w:tc>
        <w:tc>
          <w:tcPr>
            <w:tcW w:type="dxa" w:w="4536"/>
          </w:tcPr>
          <w:p>
            <w:r>
              <w:rPr>
                <w:rFonts w:ascii="Times New Roman" w:hAnsi="Times New Roman"/>
                <w:sz w:val="20"/>
              </w:rPr>
              <w:t>Anklageschrift zugestellt; ABC SE beauftragt RA Krämer</w:t>
            </w:r>
          </w:p>
        </w:tc>
      </w:tr>
      <w:tr>
        <w:tc>
          <w:tcPr>
            <w:tcW w:type="dxa" w:w="4536"/>
          </w:tcPr>
          <w:p>
            <w:r>
              <w:rPr>
                <w:rFonts w:ascii="Times New Roman" w:hAnsi="Times New Roman"/>
                <w:sz w:val="20"/>
              </w:rPr>
              <w:t>22.04.2025</w:t>
            </w:r>
          </w:p>
        </w:tc>
        <w:tc>
          <w:tcPr>
            <w:tcW w:type="dxa" w:w="4536"/>
          </w:tcPr>
          <w:p>
            <w:r>
              <w:rPr>
                <w:rFonts w:ascii="Times New Roman" w:hAnsi="Times New Roman"/>
                <w:sz w:val="20"/>
              </w:rPr>
              <w:t>Schreiben RA Krämer an StA: Anmeldung Nebenklageberechtigung</w:t>
            </w:r>
          </w:p>
        </w:tc>
      </w:tr>
      <w:tr>
        <w:tc>
          <w:tcPr>
            <w:tcW w:type="dxa" w:w="4536"/>
          </w:tcPr>
          <w:p>
            <w:r>
              <w:rPr>
                <w:rFonts w:ascii="Times New Roman" w:hAnsi="Times New Roman"/>
                <w:sz w:val="20"/>
              </w:rPr>
              <w:t>05.05.2025</w:t>
            </w:r>
          </w:p>
        </w:tc>
        <w:tc>
          <w:tcPr>
            <w:tcW w:type="dxa" w:w="4536"/>
          </w:tcPr>
          <w:p>
            <w:r>
              <w:rPr>
                <w:rFonts w:ascii="Times New Roman" w:hAnsi="Times New Roman"/>
                <w:sz w:val="20"/>
              </w:rPr>
              <w:t>Formelle Nebenklageerklärung + Adäsionsantrag bei LG Frankfurt eingereicht</w:t>
            </w:r>
          </w:p>
        </w:tc>
      </w:tr>
      <w:tr>
        <w:tc>
          <w:tcPr>
            <w:tcW w:type="dxa" w:w="4536"/>
          </w:tcPr>
          <w:p>
            <w:r>
              <w:rPr>
                <w:rFonts w:ascii="Times New Roman" w:hAnsi="Times New Roman"/>
                <w:sz w:val="20"/>
              </w:rPr>
              <w:t>07.05.2025</w:t>
            </w:r>
          </w:p>
        </w:tc>
        <w:tc>
          <w:tcPr>
            <w:tcW w:type="dxa" w:w="4536"/>
          </w:tcPr>
          <w:p>
            <w:r>
              <w:rPr>
                <w:rFonts w:ascii="Times New Roman" w:hAnsi="Times New Roman"/>
                <w:sz w:val="20"/>
              </w:rPr>
              <w:t>Zustellung Nebenklage-Erklärung an Verteidigung (per beA)</w:t>
            </w:r>
          </w:p>
        </w:tc>
      </w:tr>
      <w:tr>
        <w:tc>
          <w:tcPr>
            <w:tcW w:type="dxa" w:w="4536"/>
          </w:tcPr>
          <w:p>
            <w:r>
              <w:rPr>
                <w:rFonts w:ascii="Times New Roman" w:hAnsi="Times New Roman"/>
                <w:sz w:val="20"/>
              </w:rPr>
              <w:t>09.05.2025</w:t>
            </w:r>
          </w:p>
        </w:tc>
        <w:tc>
          <w:tcPr>
            <w:tcW w:type="dxa" w:w="4536"/>
          </w:tcPr>
          <w:p>
            <w:r>
              <w:rPr>
                <w:rFonts w:ascii="Times New Roman" w:hAnsi="Times New Roman"/>
                <w:sz w:val="20"/>
              </w:rPr>
              <w:t>Dr. Marx: Eingang Adäsionsantrag; interne Bewertung</w:t>
            </w:r>
          </w:p>
        </w:tc>
      </w:tr>
      <w:tr>
        <w:tc>
          <w:tcPr>
            <w:tcW w:type="dxa" w:w="4536"/>
          </w:tcPr>
          <w:p>
            <w:r>
              <w:rPr>
                <w:rFonts w:ascii="Times New Roman" w:hAnsi="Times New Roman"/>
                <w:sz w:val="20"/>
              </w:rPr>
              <w:t>23.06.2025</w:t>
            </w:r>
          </w:p>
        </w:tc>
        <w:tc>
          <w:tcPr>
            <w:tcW w:type="dxa" w:w="4536"/>
          </w:tcPr>
          <w:p>
            <w:r>
              <w:rPr>
                <w:rFonts w:ascii="Times New Roman" w:hAnsi="Times New Roman"/>
                <w:sz w:val="20"/>
              </w:rPr>
              <w:t>HV-Termin 1: Gericht entscheidet über Zulassung Nebenklage</w:t>
            </w:r>
          </w:p>
        </w:tc>
      </w:tr>
    </w:tbl>
    <w:p/>
    <w:p>
      <w:pPr>
        <w:jc w:val="left"/>
      </w:pPr>
      <w:r>
        <w:rPr>
          <w:i/>
        </w:rPr>
        <w:t>Dr. Friederike Marx — Marx Strafverteidigung Frankfurt — Az. 5/28 KLs 122/25</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ABC Großabnehmer SE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ABC Großabnehmer SE</w:t>
    </w:r>
  </w:p>
  <w:p>
    <w:pPr>
      <w:jc w:val="left"/>
      <w:pBdr>
        <w:bottom w:val="single" w:sz="6" w:space="2" w:color="1F3864"/>
      </w:pBdr>
    </w:pPr>
    <w:r>
      <w:rPr>
        <w:rFonts w:ascii="Times New Roman" w:hAnsi="Times New Roman"/>
        <w:color w:val="6B6B66"/>
        <w:sz w:val="16"/>
      </w:rPr>
      <w:t>Unternehmen · Az.: 5/28 KLs 122/25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