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Pressemitteilung Staatsanwaltschaft Frankfurt am Main — Redigierte Fassung</w:t>
      </w:r>
    </w:p>
    <w:p>
      <w:pPr>
        <w:jc w:val="left"/>
      </w:pPr>
      <w:r>
        <w:rPr>
          <w:b/>
        </w:rPr>
        <w:t>[Verteidigungsexemplar — vollständige Version bei Staatsanwaltschaft]</w:t>
      </w:r>
    </w:p>
    <w:p/>
    <w:p>
      <w:pPr>
        <w:pStyle w:val="Heading2"/>
      </w:pPr>
      <w:r>
        <w:rPr>
          <w:rFonts w:ascii="Times New Roman" w:hAnsi="Times New Roman"/>
        </w:rPr>
        <w:t>PRESSEMITTEILUNG</w:t>
      </w:r>
    </w:p>
    <w:p>
      <w:pPr>
        <w:jc w:val="left"/>
      </w:pPr>
      <w:r>
        <w:rPr>
          <w:b/>
        </w:rPr>
        <w:t>Staatsanwaltschaft Frankfurt am Main</w:t>
      </w:r>
    </w:p>
    <w:p>
      <w:pPr>
        <w:jc w:val="left"/>
      </w:pPr>
      <w:r>
        <w:t>Pressestelle</w:t>
      </w:r>
    </w:p>
    <w:p>
      <w:pPr>
        <w:jc w:val="left"/>
      </w:pPr>
      <w:r>
        <w:t>Konrad-Adenauer-Straße 20</w:t>
      </w:r>
    </w:p>
    <w:p>
      <w:pPr>
        <w:jc w:val="left"/>
      </w:pPr>
      <w:r>
        <w:t>60313 Frankfurt am Main</w:t>
      </w:r>
    </w:p>
    <w:p>
      <w:pPr>
        <w:jc w:val="left"/>
      </w:pPr>
      <w:r>
        <w:t>presse@sta-frankfurt.de</w:t>
      </w:r>
    </w:p>
    <w:p>
      <w:pPr>
        <w:jc w:val="left"/>
      </w:pPr>
      <w:r>
        <w:rPr>
          <w:b/>
        </w:rPr>
        <w:t>Nr. 12/2025</w:t>
      </w:r>
    </w:p>
    <w:p>
      <w:pPr>
        <w:jc w:val="left"/>
      </w:pPr>
      <w:r>
        <w:t xml:space="preserve">Frankfurt am Main, </w:t>
      </w:r>
      <w:r>
        <w:rPr>
          <w:b/>
        </w:rPr>
        <w:t>17. März 2025</w:t>
      </w:r>
    </w:p>
    <w:p/>
    <w:p>
      <w:pPr>
        <w:pStyle w:val="Heading3"/>
      </w:pPr>
      <w:r>
        <w:rPr>
          <w:rFonts w:ascii="Times New Roman" w:hAnsi="Times New Roman"/>
        </w:rPr>
        <w:t>Anklage und Untersuchungshaft wegen gewerbsmäßigen Betrugs, Untreue, Bestechung und Steuerhinterziehung</w:t>
      </w:r>
    </w:p>
    <w:p>
      <w:pPr>
        <w:jc w:val="left"/>
      </w:pPr>
      <w:r>
        <w:t>Die Staatsanwaltschaft Frankfurt am Main teilt mit:</w:t>
      </w:r>
    </w:p>
    <w:p>
      <w:pPr>
        <w:jc w:val="left"/>
      </w:pPr>
      <w:r>
        <w:t xml:space="preserve">Auf Antrag der Staatsanwaltschaft Frankfurt am Main hat das Landgericht Frankfurt am Main — 14. Große Wirtschaftsstrafkammer — am 14. März 2025 einen Haftbefehl gegen einen </w:t>
      </w:r>
      <w:r>
        <w:rPr>
          <w:b/>
        </w:rPr>
        <w:t>46-jährigen Geschäftsführer eines Frankfurter Unternehmens der Investitionsgüterbranche</w:t>
      </w:r>
      <w:r>
        <w:t xml:space="preserve"> (nachfolgend: der Beschuldigte) erlassen. Der Beschuldigte befindet sich seit dem 17. März 2025 in Untersuchungshaft in der JVA Frankfurt I.</w:t>
      </w:r>
    </w:p>
    <w:p>
      <w:pPr>
        <w:jc w:val="left"/>
      </w:pPr>
      <w:r>
        <w:rPr>
          <w:b/>
        </w:rPr>
        <w:t>[███ Satz mit vollständigem Klarnamen — auf richterliche Anordnung geschwärzt bis Anklageerhebung — redigierte Version für Öffentlichkeit]</w:t>
      </w:r>
    </w:p>
    <w:p>
      <w:pPr>
        <w:jc w:val="left"/>
      </w:pPr>
      <w:r>
        <w:t xml:space="preserve">Dem Beschuldigten wird zur Last gelegt, im Zeitraum von 2019 bis 2022 in </w:t>
      </w:r>
      <w:r>
        <w:rPr>
          <w:b/>
        </w:rPr>
        <w:t>14 Fällen</w:t>
      </w:r>
      <w:r>
        <w:t xml:space="preserve"> durch falsche Angaben zu technischen Eigenschaften und Zertifizierungen von Industriemaschinen einen Großabnehmer getäuscht und dabei einen Schaden von insgesamt ca. </w:t>
      </w:r>
      <w:r>
        <w:rPr>
          <w:b/>
        </w:rPr>
        <w:t>████████ EUR</w:t>
      </w:r>
      <w:r>
        <w:t xml:space="preserve"> [Betrag geschwärzt] verursacht zu haben (Verdacht des gewerbsmäßigen Betrugs, § 263 Abs. 3 StGB).</w:t>
      </w:r>
    </w:p>
    <w:p>
      <w:pPr>
        <w:jc w:val="left"/>
      </w:pPr>
      <w:r>
        <w:t xml:space="preserve">Darüber hinaus besteht der Verdacht, dass der Beschuldigte als Geschäftsführer Gesellschaftsmittel im Umfang von ca. </w:t>
      </w:r>
      <w:r>
        <w:rPr>
          <w:b/>
        </w:rPr>
        <w:t>███████ EUR</w:t>
      </w:r>
      <w:r>
        <w:t xml:space="preserve"> [geschwärzt] ohne rechtfertigenden Gesellschafterbeschluss ins Ausland transferiert hat (Verdacht der Untreue, § 266 StGB), dass er </w:t>
      </w:r>
      <w:r>
        <w:rPr>
          <w:b/>
        </w:rPr>
        <w:t>drei Einkäufer</w:t>
      </w:r>
      <w:r>
        <w:t xml:space="preserve"> eines Großabnehmers bestochen hat, um Aufträge zu sichern (§ 334 StGB), sowie dass er über mehrere Jahre Steuern in erheblichem Umfang verkürzt hat (§ 370 AO).</w:t>
      </w:r>
    </w:p>
    <w:p>
      <w:pPr>
        <w:jc w:val="left"/>
      </w:pPr>
      <w:r>
        <w:t>Die Ermittlungen wurden von der Abteilung Wirtschaftskriminalität der Staatsanwaltschaft Frankfurt am Main in Zusammenarbeit mit dem Landeskriminalamt Hessen (Dezernat Wirtschaftskriminalität) und der Steuerfahndung Frankfurt geführt.</w:t>
      </w:r>
    </w:p>
    <w:p>
      <w:pPr>
        <w:jc w:val="left"/>
      </w:pPr>
      <w:r>
        <w:rPr>
          <w:b/>
        </w:rPr>
        <w:t>Haftgrund:</w:t>
      </w:r>
      <w:r>
        <w:t xml:space="preserve"> Das Landgericht Frankfurt am Main hat Fluchtgefahr (§ 112 Abs. 2 Nr. 2 StPO) bejaht.</w:t>
      </w:r>
    </w:p>
    <w:p>
      <w:pPr>
        <w:jc w:val="left"/>
      </w:pPr>
      <w:r>
        <w:t>Es wird darauf hingewiesen, dass der Beschuldigte unschuldig ist, bis seine Schuld rechtskräftig festgestellt wird (Unschuldsvermutung). Das Verfahren ist noch nicht abgeschlossen.</w:t>
      </w:r>
    </w:p>
    <w:p/>
    <w:p>
      <w:pPr>
        <w:jc w:val="left"/>
      </w:pPr>
      <w:r>
        <w:rPr>
          <w:b/>
        </w:rPr>
        <w:t>Rückfragen an:</w:t>
      </w:r>
    </w:p>
    <w:p>
      <w:pPr>
        <w:jc w:val="left"/>
      </w:pPr>
      <w:r>
        <w:t>Pressestelle der Staatsanwaltschaft Frankfurt am Main</w:t>
      </w:r>
    </w:p>
    <w:p>
      <w:pPr>
        <w:jc w:val="left"/>
      </w:pPr>
      <w:r>
        <w:t>Tel.: 069 / 1367-5500</w:t>
      </w:r>
    </w:p>
    <w:p>
      <w:pPr>
        <w:jc w:val="left"/>
      </w:pPr>
      <w:r>
        <w:t>Erreichbar Montag bis Freitag, 9–17 Uhr</w:t>
      </w:r>
    </w:p>
    <w:p/>
    <w:p>
      <w:pPr>
        <w:jc w:val="left"/>
      </w:pPr>
      <w:r>
        <w:rPr>
          <w:i/>
        </w:rPr>
        <w:t>[Redigierte Version gemäß Beschluss des LG Frankfurt v. 14.03.2025 — für Verteidigungsakte. Vollständige Version der Pressemitteilung ist öffentlich zugänglich; die vorstehende Version entspricht der Fassung, die die Kanzlei am 17.03.2025 aus öffentlichen Quellen dokumentiert hat. Klarnamen wurden für diese Aktenkopie auf Wunsch der Kanzlei anonymisiert — Originalfassung nennt Familienname und Funktion.]</w:t>
      </w:r>
    </w:p>
    <w:p/>
    <w:p>
      <w:pPr>
        <w:pStyle w:val="Heading2"/>
      </w:pPr>
      <w:r>
        <w:rPr>
          <w:rFonts w:ascii="Times New Roman" w:hAnsi="Times New Roman"/>
        </w:rPr>
        <w:t>Kanzleivermerk zur Pressemitteilung (Dr. Marx, 17.03.2025)</w:t>
      </w:r>
    </w:p>
    <w:p>
      <w:pPr>
        <w:jc w:val="left"/>
      </w:pPr>
      <w:r>
        <w:t>Die Pressemitteilung wurde noch vor der Einlieferung des Mandanten in die JVA veröffentlicht. Dies ist verfahrenstaktisch bedenklich: Die Nennung der Tatvorwürfe in der Öffentlichkeit zum jetzigen Zeitpunkt (kein rechtskräftiges Urteil) birgt das Risiko einer Vorverurteilung. Der Mandant ist im Markt als Geschäftsführer einer mittelständischen GmbH bekannt; die Presse hat die Mitteilung überregional aufgegriffen.</w:t>
      </w:r>
    </w:p>
    <w:p>
      <w:pPr>
        <w:jc w:val="left"/>
      </w:pPr>
      <w:r>
        <w:rPr>
          <w:b/>
        </w:rPr>
        <w:t>Mögliche Rechtsmittel:</w:t>
      </w:r>
    </w:p>
    <w:p>
      <w:pPr>
        <w:jc w:val="left"/>
      </w:pPr>
      <w:r>
        <w:t>Eine Gegendarstellung nach § 10 Hessisches Pressegesetz oder eine Anfrage an die Pressestelle der StA, bestimmte Details zurückzunehmen, ist erwägenswert. Die Nennung des Unternehmens in weiteren Berichten ist jedoch nicht mehr zu verhindern.</w:t>
      </w:r>
    </w:p>
    <w:p>
      <w:pPr>
        <w:jc w:val="left"/>
      </w:pPr>
      <w:r>
        <w:t xml:space="preserve">Kanzlei hat für Anfragen von Journalisten die Formulierung vorbereitet: </w:t>
      </w:r>
      <w:r>
        <w:rPr>
          <w:i/>
        </w:rPr>
        <w:t>„Unser Mandant bestreitet die erhobenen Vorwürfe vollumfänglich. Das Strafverfahren ist nicht abgeschlossen; eine Verurteilung hat nicht stattgefunden."</w:t>
      </w:r>
    </w:p>
    <w:p/>
    <w:p>
      <w:pPr>
        <w:jc w:val="left"/>
      </w:pPr>
      <w:r>
        <w:rPr>
          <w:i/>
        </w:rPr>
        <w:t>Az.: 5/28 KLs 122/25 — Az. StA: 5400 Js 14782/24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Staatsanwaltschaft Frankfurt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Staatsanwaltschaft Frankfurt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