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— Rechtsprechung BGH: Zitate-Pruefkorpus</w:t>
      </w:r>
    </w:p>
    <w:p>
      <w:pPr>
        <w:jc w:val="left"/>
      </w:pPr>
      <w:r>
        <w:rPr>
          <w:b/>
        </w:rPr>
        <w:t>Pruefkorpus-Abschnitt: Bundesgerichtshof</w:t>
      </w:r>
    </w:p>
    <w:p>
      <w:pPr>
        <w:jc w:val="left"/>
      </w:pPr>
      <w:r>
        <w:rPr>
          <w:b/>
        </w:rPr>
        <w:t>Bearbeiterin: Dr. Sophia Pohlmann-Wittfeldt | Pruefung: Moritz Lattermann</w:t>
      </w:r>
    </w:p>
    <w:p>
      <w:pPr>
        <w:jc w:val="left"/>
      </w:pPr>
      <w:r>
        <w:rPr>
          <w:b/>
        </w:rPr>
        <w:t>Stand: Oktober 2025</w:t>
      </w:r>
    </w:p>
    <w:p/>
    <w:p>
      <w:pPr>
        <w:pStyle w:val="Heading2"/>
      </w:pPr>
      <w:r>
        <w:rPr>
          <w:rFonts w:ascii="Times New Roman" w:hAnsi="Times New Roman"/>
        </w:rPr>
        <w:t>Vorbemerkung</w:t>
      </w:r>
    </w:p>
    <w:p>
      <w:pPr>
        <w:jc w:val="left"/>
      </w:pPr>
      <w:r>
        <w:t>Dieser Abschnitt enthält 20 BGH-Fundstellen des Pruefkorpus (Nr. 19–38). Quellenbasis: bundesgerichtshof.de (amtlich), dejure.org (frei zugänglich). BeckRS-Fundstellen werden gesperrt, sofern kein Lizenzzugang dokumentiert ist.</w:t>
      </w:r>
    </w:p>
    <w:p/>
    <w:p>
      <w:pPr>
        <w:pStyle w:val="Heading2"/>
      </w:pPr>
      <w:r>
        <w:rPr>
          <w:rFonts w:ascii="Times New Roman" w:hAnsi="Times New Roman"/>
        </w:rPr>
        <w:t>Fundstelle 19 — BGHZ 51, 91 — Hueneklump-Schlachthof</w:t>
      </w:r>
    </w:p>
    <w:p>
      <w:pPr>
        <w:jc w:val="left"/>
      </w:pPr>
      <w:r>
        <w:rPr>
          <w:b/>
        </w:rPr>
        <w:t>Hinweis:</w:t>
      </w:r>
      <w:r>
        <w:t xml:space="preserve"> BGHZ 51, 91 ist eine reale Fundstelle in der amtlichen Sammlung; der Zusatz "Hueneklump-Schlachthof" stammt aus der internen Altregistratur und ist vor externer Verwendung zu entfernen.</w:t>
      </w:r>
    </w:p>
    <w:p>
      <w:pPr>
        <w:jc w:val="left"/>
      </w:pPr>
      <w:r>
        <w:rPr>
          <w:b/>
        </w:rPr>
        <w:t>Entscheidung:</w:t>
      </w:r>
      <w:r>
        <w:t xml:space="preserve"> BGH, Urt. v. 27.01.1969, Az. II ZR 64/67</w:t>
      </w:r>
    </w:p>
    <w:p>
      <w:pPr>
        <w:jc w:val="left"/>
      </w:pPr>
      <w:r>
        <w:rPr>
          <w:b/>
        </w:rPr>
        <w:t>Amtliche Sammlung:</w:t>
      </w:r>
      <w:r>
        <w:t xml:space="preserve"> BGHZ 51, 91</w:t>
      </w:r>
    </w:p>
    <w:p>
      <w:pPr>
        <w:jc w:val="left"/>
      </w:pPr>
      <w:r>
        <w:rPr>
          <w:b/>
        </w:rPr>
        <w:t>Thema:</w:t>
      </w:r>
      <w:r>
        <w:t xml:space="preserve"> Gesellschaftsrecht, Haftung.</w:t>
      </w:r>
    </w:p>
    <w:p>
      <w:pPr>
        <w:jc w:val="left"/>
      </w:pPr>
      <w:r>
        <w:rPr>
          <w:b/>
        </w:rPr>
        <w:t>Langzitat:</w:t>
      </w:r>
    </w:p>
    <w:p>
      <w:pPr>
        <w:jc w:val="left"/>
      </w:pPr>
      <w:r>
        <w:t>BGH, Urt. v. 27.01.1969, Az. II ZR 64/67, BGHZ 51, 91 (94).</w:t>
      </w:r>
    </w:p>
    <w:p>
      <w:pPr>
        <w:jc w:val="left"/>
      </w:pPr>
      <w:r>
        <w:rPr>
          <w:b/>
        </w:rPr>
        <w:t>Kurzzitat:</w:t>
      </w:r>
    </w:p>
    <w:p>
      <w:pPr>
        <w:jc w:val="left"/>
      </w:pPr>
      <w:r>
        <w:t>BGHZ 51, 91 (94).</w:t>
      </w:r>
    </w:p>
    <w:p>
      <w:pPr>
        <w:jc w:val="left"/>
      </w:pPr>
      <w:r>
        <w:rPr>
          <w:b/>
        </w:rPr>
        <w:t>Prüfvermerk:</w:t>
      </w:r>
      <w:r>
        <w:t xml:space="preserve"> Kein Prüfvermerk erforderlich. Amtliche Sammlung vorhanden.</w:t>
      </w:r>
    </w:p>
    <w:p/>
    <w:p>
      <w:pPr>
        <w:pStyle w:val="Heading2"/>
      </w:pPr>
      <w:r>
        <w:rPr>
          <w:rFonts w:ascii="Times New Roman" w:hAnsi="Times New Roman"/>
        </w:rPr>
        <w:t>Fundstelle 20 — BGH mit dejure-URL-Pflicht</w:t>
      </w:r>
    </w:p>
    <w:p>
      <w:pPr>
        <w:jc w:val="left"/>
      </w:pPr>
      <w:r>
        <w:rPr>
          <w:b/>
        </w:rPr>
        <w:t>Entscheidung:</w:t>
      </w:r>
      <w:r>
        <w:t xml:space="preserve"> BGH, Urt. v. 21.12.2021, Az. VI ZR 48/21</w:t>
      </w:r>
    </w:p>
    <w:p>
      <w:pPr>
        <w:jc w:val="left"/>
      </w:pPr>
      <w:r>
        <w:rPr>
          <w:b/>
        </w:rPr>
        <w:t>Amtliche Sammlung:</w:t>
      </w:r>
      <w:r>
        <w:t xml:space="preserve"> BGHZ 232, 133</w:t>
      </w:r>
    </w:p>
    <w:p>
      <w:pPr>
        <w:jc w:val="left"/>
      </w:pPr>
      <w:r>
        <w:rPr>
          <w:b/>
        </w:rPr>
        <w:t>Thema:</w:t>
      </w:r>
      <w:r>
        <w:t xml:space="preserve"> Datenschutzrecht, DSGVO-Schadensersatz.</w:t>
      </w:r>
    </w:p>
    <w:p>
      <w:pPr>
        <w:jc w:val="left"/>
      </w:pPr>
      <w:r>
        <w:rPr>
          <w:b/>
        </w:rPr>
        <w:t>Langzitat:</w:t>
      </w:r>
    </w:p>
    <w:p>
      <w:pPr>
        <w:jc w:val="left"/>
      </w:pPr>
      <w:r>
        <w:t>BGH, Urt. v. 21.12.2021, Az. VI ZR 48/21, BGHZ 232, 133 (Rn. 18), NJW 2022, 1238 (1240), abrufbar unter: https://www.bundesgerichtshof.de/SharedDocs/Entscheidungen/DE/2021/12/urt20211221_vizr004821.html (abgerufen am 01.10.2025).</w:t>
      </w:r>
    </w:p>
    <w:p>
      <w:pPr>
        <w:jc w:val="left"/>
      </w:pPr>
      <w:r>
        <w:rPr>
          <w:b/>
        </w:rPr>
        <w:t>Kurzzitat:</w:t>
      </w:r>
    </w:p>
    <w:p>
      <w:pPr>
        <w:jc w:val="left"/>
      </w:pPr>
      <w:r>
        <w:t>BGHZ 232, 133 (Rn. 18).</w:t>
      </w:r>
    </w:p>
    <w:p>
      <w:pPr>
        <w:jc w:val="left"/>
      </w:pPr>
      <w:r>
        <w:rPr>
          <w:b/>
        </w:rPr>
        <w:t>Prüfvermerk:</w:t>
      </w:r>
      <w:r>
        <w:t xml:space="preserve"> Kein Prüfvermerk. Mehrfach-Fundstelle: BGHZ vor NJW — Rangfolge korrekt.</w:t>
      </w:r>
    </w:p>
    <w:p/>
    <w:p>
      <w:pPr>
        <w:pStyle w:val="Heading2"/>
      </w:pPr>
      <w:r>
        <w:rPr>
          <w:rFonts w:ascii="Times New Roman" w:hAnsi="Times New Roman"/>
        </w:rPr>
        <w:t>Fundstelle 21 — BGH BeckRS-Sperre</w:t>
      </w:r>
    </w:p>
    <w:p>
      <w:pPr>
        <w:jc w:val="left"/>
      </w:pPr>
      <w:r>
        <w:rPr>
          <w:b/>
        </w:rPr>
        <w:t>Fehlerhaftes Zitat (Entwurf Mitarbeiter):</w:t>
      </w:r>
    </w:p>
    <w:p>
      <w:pPr>
        <w:jc w:val="left"/>
      </w:pPr>
      <w:r>
        <w:t>BGH, Beschl. v. 08.03.2022, Az. XIII ZB 34/21, BeckRS 2022, 6789.</w:t>
      </w:r>
    </w:p>
    <w:p>
      <w:pPr>
        <w:jc w:val="left"/>
      </w:pPr>
      <w:r>
        <w:rPr>
          <w:b/>
        </w:rPr>
        <w:t>[PRÜFVERMERK — BeckRS-SPERRE (PV-BR)]</w:t>
      </w:r>
    </w:p>
    <w:p>
      <w:pPr>
        <w:jc w:val="left"/>
      </w:pPr>
      <w:r>
        <w:t>BeckRS 2022, 6789 nicht verifizierbar ohne Lizenzzugang. Prüfe:</w:t>
      </w:r>
    </w:p>
    <w:p>
      <w:pPr>
        <w:pStyle w:val="ListBullet"/>
      </w:pPr>
      <w:r>
        <w:t>bundesgerichtshof.de: https://www.bundesgerichtshof.de (Suchmaske)</w:t>
      </w:r>
    </w:p>
    <w:p>
      <w:pPr>
        <w:pStyle w:val="ListBullet"/>
      </w:pPr>
      <w:r>
        <w:t>dejure.org: https://dejure.org/dienste/vernetzung/rechtsprechung?Gericht=BGH&amp;Datum=08.03.2022&amp;Aktenzeichen=XIII+ZB+34%2F21</w:t>
      </w:r>
    </w:p>
    <w:p>
      <w:pPr>
        <w:jc w:val="left"/>
      </w:pPr>
      <w:r>
        <w:t>Ausgabe gesperrt bis Verifikation.</w:t>
      </w:r>
    </w:p>
    <w:p/>
    <w:p>
      <w:pPr>
        <w:pStyle w:val="Heading2"/>
      </w:pPr>
      <w:r>
        <w:rPr>
          <w:rFonts w:ascii="Times New Roman" w:hAnsi="Times New Roman"/>
        </w:rPr>
        <w:t>Fundstelle 22 — BGHZ 26, 349</w:t>
      </w:r>
    </w:p>
    <w:p>
      <w:pPr>
        <w:jc w:val="left"/>
      </w:pPr>
      <w:r>
        <w:rPr>
          <w:b/>
        </w:rPr>
        <w:t>Entscheidung:</w:t>
      </w:r>
      <w:r>
        <w:t xml:space="preserve"> BGH, Urt. v. 14.02.1958, Az. I ZR 151/56</w:t>
      </w:r>
    </w:p>
    <w:p>
      <w:pPr>
        <w:jc w:val="left"/>
      </w:pPr>
      <w:r>
        <w:rPr>
          <w:b/>
        </w:rPr>
        <w:t>Amtliche Sammlung:</w:t>
      </w:r>
      <w:r>
        <w:t xml:space="preserve"> BGHZ 26, 349</w:t>
      </w:r>
    </w:p>
    <w:p>
      <w:pPr>
        <w:jc w:val="left"/>
      </w:pPr>
      <w:r>
        <w:rPr>
          <w:b/>
        </w:rPr>
        <w:t>Thema:</w:t>
      </w:r>
      <w:r>
        <w:t xml:space="preserve"> Wettbewerbsrecht, Unterlassungsanspruch.</w:t>
      </w:r>
    </w:p>
    <w:p>
      <w:pPr>
        <w:jc w:val="left"/>
      </w:pPr>
      <w:r>
        <w:rPr>
          <w:b/>
        </w:rPr>
        <w:t>Langzitat:</w:t>
      </w:r>
    </w:p>
    <w:p>
      <w:pPr>
        <w:jc w:val="left"/>
      </w:pPr>
      <w:r>
        <w:t>BGH, Urt. v. 14.02.1958, Az. I ZR 151/56, BGHZ 26, 349 (353).</w:t>
      </w:r>
    </w:p>
    <w:p>
      <w:pPr>
        <w:jc w:val="left"/>
      </w:pPr>
      <w:r>
        <w:rPr>
          <w:b/>
        </w:rPr>
        <w:t>Kurzzitat:</w:t>
      </w:r>
    </w:p>
    <w:p>
      <w:pPr>
        <w:jc w:val="left"/>
      </w:pPr>
      <w:r>
        <w:t>BGHZ 26, 349 (353).</w:t>
      </w:r>
    </w:p>
    <w:p>
      <w:pPr>
        <w:jc w:val="left"/>
      </w:pPr>
      <w:r>
        <w:rPr>
          <w:b/>
        </w:rPr>
        <w:t>Prüfvermerk:</w:t>
      </w:r>
      <w:r>
        <w:t xml:space="preserve"> Kein Prüfvermerk. Historische Entscheidung; keine URL erforderlich (Entscheidung nicht online abrufbar).</w:t>
      </w:r>
    </w:p>
    <w:p/>
    <w:p>
      <w:pPr>
        <w:pStyle w:val="Heading2"/>
      </w:pPr>
      <w:r>
        <w:rPr>
          <w:rFonts w:ascii="Times New Roman" w:hAnsi="Times New Roman"/>
        </w:rPr>
        <w:t>Fundstelle 23 — BGH NJW-Zitat ohne BGHZ-Aufnahme</w:t>
      </w:r>
    </w:p>
    <w:p>
      <w:pPr>
        <w:jc w:val="left"/>
      </w:pPr>
      <w:r>
        <w:rPr>
          <w:b/>
        </w:rPr>
        <w:t>Entscheidung:</w:t>
      </w:r>
      <w:r>
        <w:t xml:space="preserve"> BGH, Urt. v. 12.05.2022, Az. III ZR 234/21</w:t>
      </w:r>
    </w:p>
    <w:p>
      <w:pPr>
        <w:jc w:val="left"/>
      </w:pPr>
      <w:r>
        <w:rPr>
          <w:b/>
        </w:rPr>
        <w:t>Amtliche Sammlung:</w:t>
      </w:r>
      <w:r>
        <w:t xml:space="preserve"> Keine BGHZ-Bandaufnahme.</w:t>
      </w:r>
    </w:p>
    <w:p>
      <w:pPr>
        <w:jc w:val="left"/>
      </w:pPr>
      <w:r>
        <w:rPr>
          <w:b/>
        </w:rPr>
        <w:t>Thema:</w:t>
      </w:r>
      <w:r>
        <w:t xml:space="preserve"> Dienstleistungsvertrag, AGB-Recht.</w:t>
      </w:r>
    </w:p>
    <w:p>
      <w:pPr>
        <w:jc w:val="left"/>
      </w:pPr>
      <w:r>
        <w:rPr>
          <w:b/>
        </w:rPr>
        <w:t>Langzitat:</w:t>
      </w:r>
    </w:p>
    <w:p>
      <w:pPr>
        <w:jc w:val="left"/>
      </w:pPr>
      <w:r>
        <w:t>BGH, Urt. v. 12.05.2022, Az. III ZR 234/21, NJW 2022, 2187 (2188), abrufbar unter: https://dejure.org/2022,14889 (abgerufen am 01.10.2025).</w:t>
      </w:r>
    </w:p>
    <w:p>
      <w:pPr>
        <w:jc w:val="left"/>
      </w:pPr>
      <w:r>
        <w:rPr>
          <w:b/>
        </w:rPr>
        <w:t>Kurzzitat:</w:t>
      </w:r>
    </w:p>
    <w:p>
      <w:pPr>
        <w:jc w:val="left"/>
      </w:pPr>
      <w:r>
        <w:t>BGH NJW 2022, 2187 (2188).</w:t>
      </w:r>
    </w:p>
    <w:p>
      <w:pPr>
        <w:jc w:val="left"/>
      </w:pPr>
      <w:r>
        <w:rPr>
          <w:b/>
        </w:rPr>
        <w:t>Prüfvermerk:</w:t>
      </w:r>
      <w:r>
        <w:t xml:space="preserve"> Kein Prüfvermerk. Keine BGHZ-Aufnahme: NJW tritt an erste Stelle, dejure-URL vorhanden — korrekt.</w:t>
      </w:r>
    </w:p>
    <w:p/>
    <w:p>
      <w:pPr>
        <w:pStyle w:val="Heading2"/>
      </w:pPr>
      <w:r>
        <w:rPr>
          <w:rFonts w:ascii="Times New Roman" w:hAnsi="Times New Roman"/>
        </w:rPr>
        <w:t>Fundstelle 24 — BGH URL-Fehler (PV-URL)</w:t>
      </w:r>
    </w:p>
    <w:p>
      <w:pPr>
        <w:jc w:val="left"/>
      </w:pPr>
      <w:r>
        <w:rPr>
          <w:b/>
        </w:rPr>
        <w:t>Fehlerhaftes Zitat (Entwurf Mitarbeiter):</w:t>
      </w:r>
    </w:p>
    <w:p>
      <w:pPr>
        <w:jc w:val="left"/>
      </w:pPr>
      <w:r>
        <w:t>BGH, Urt. v. 05.10.2021, Az. VI ZR 136/20, NJW 2022, 52.</w:t>
      </w:r>
    </w:p>
    <w:p>
      <w:pPr>
        <w:jc w:val="left"/>
      </w:pPr>
      <w:r>
        <w:rPr>
          <w:b/>
        </w:rPr>
        <w:t>[PRÜFVERMERK — URL FEHLT (PV-URL)]</w:t>
      </w:r>
    </w:p>
    <w:p>
      <w:pPr>
        <w:jc w:val="left"/>
      </w:pPr>
      <w:r>
        <w:t>Die Entscheidung ist frei zugänglich unter dejure.org. Die URL-Angabe ist gemäß Hauszitierregel A.1 Abs. 6 Pflicht.</w:t>
      </w:r>
    </w:p>
    <w:p>
      <w:pPr>
        <w:jc w:val="left"/>
      </w:pPr>
      <w:r>
        <w:rPr>
          <w:b/>
        </w:rPr>
        <w:t>Korrigiertes Zitat:</w:t>
      </w:r>
    </w:p>
    <w:p>
      <w:pPr>
        <w:jc w:val="left"/>
      </w:pPr>
      <w:r>
        <w:t>BGH, Urt. v. 05.10.2021, Az. VI ZR 136/20, NJW 2022, 52 (54), abrufbar unter: https://dejure.org/2021,40004 (abgerufen am 01.10.2025).</w:t>
      </w:r>
    </w:p>
    <w:p/>
    <w:p>
      <w:pPr>
        <w:pStyle w:val="Heading2"/>
      </w:pPr>
      <w:r>
        <w:rPr>
          <w:rFonts w:ascii="Times New Roman" w:hAnsi="Times New Roman"/>
        </w:rPr>
        <w:t>Fundstelle 25–38 — Weitere BGH-Entscheidungen (Kurzformat)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Az.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Fundstelle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dejure-URL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Prüfvermerk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25.10.2011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XI ZR 401/10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BGHZ 191, 119; NJW 2012, 60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https://dejure.org/2011,27699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17.06.2014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VI ZR 281/13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NJW 2014, 2568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https://dejure.org/2014,17316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21.09.2017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 ZR 11/16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BGHZ 215, 340; GRUR 2018, 832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https://dejure.org/2017,29869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26.11.2020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 ZR 245/19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NJW 2021, 1313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https://dejure.org/2020,38972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11.12.2019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VIII ZR 361/18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NJW 2020, 1205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https://dejure.org/2019,48210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08.09.2021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VIII ZR 97/20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NJW 2022, 222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https://dejure.org/2021,34019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13.01.2021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IV ZR 68/20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NJW 2021, 921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https://dejure.org/2021,869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09.02.2021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XI ZR 191/20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NJW 2021, 1386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https://dejure.org/2021,4234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14.03.2023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VI ZR 44/22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NJW 2023, 2165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https://dejure.org/2023,9002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28.06.2022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VI ZR 39/21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NJW 2022, 3016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https://dejure.org/2022,19811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22.11.2022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II ZR 10/21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NJW 2023, 504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https://dejure.org/2022,37011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07.03.2023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XI ZR 491/21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BGHZ 236, 311; NJW 2023, 1941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https://dejure.org/2023,7801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20.04.2023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 ZR 101/22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GRUR 2023, 1148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https://dejure.org/2023,12001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19.09.2023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VIII ZR 88/23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NJW 2023, 3297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https://dejure.org/2023,28001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</w:tbl>
    <w:p/>
    <w:p>
      <w:pPr>
        <w:jc w:val="left"/>
      </w:pPr>
      <w:r>
        <w:rPr>
          <w:i/>
        </w:rPr>
        <w:t>Pruefkorpus-Abschnitt BGH: 20 Fundstellen geprüft (Nr. 19–38). Prüfvermerke: 2 (PV-BR Nr. 21, PV-URL Nr. 24). Stand: Oktober 2025.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Bundesgerichtshof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Bundesgerichtshof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