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Qualitätsmessung: Pruefkorpus-Statistik und Fehlerbericht</w:t>
      </w:r>
    </w:p>
    <w:p>
      <w:pPr>
        <w:jc w:val="left"/>
      </w:pPr>
      <w:r>
        <w:rPr>
          <w:b/>
        </w:rPr>
        <w:t>Kanzlei Roosendaal Birkenhainer Partners mbB</w:t>
      </w:r>
    </w:p>
    <w:p>
      <w:pPr>
        <w:jc w:val="left"/>
      </w:pPr>
      <w:r>
        <w:rPr>
          <w:b/>
        </w:rPr>
        <w:t>Qualitätsbericht Pruefkorpus v4.0 — Oktober 2025</w:t>
      </w:r>
    </w:p>
    <w:p>
      <w:pPr>
        <w:jc w:val="left"/>
      </w:pPr>
      <w:r>
        <w:rPr>
          <w:b/>
        </w:rPr>
        <w:t>Erstellt: Dr. Sophia Pohlmann-Wittfeldt | Freigabe: Dr. Henrik Roosendaal</w:t>
      </w:r>
    </w:p>
    <w:p/>
    <w:p>
      <w:pPr>
        <w:pStyle w:val="Heading2"/>
      </w:pPr>
      <w:r>
        <w:rPr>
          <w:rFonts w:ascii="Times New Roman" w:hAnsi="Times New Roman"/>
        </w:rPr>
        <w:t>A. Gesamtstatistik Pruefkorpus (100 Fundstellen)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 Fundstellen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Rechtsprechung BVerfG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Rechtsprechung BGH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Rechtsprechung BFH/BVerwG/BSG/BAG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Literatur Kommentare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Literatur Handbücher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Literatur Aufsätze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Amtliche Online-Quellen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Freie Online-Quellen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Mehrfach-Fundstellen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B. Fehlerstatistik</w:t>
      </w:r>
    </w:p>
    <w:p>
      <w:pPr>
        <w:pStyle w:val="Heading3"/>
      </w:pPr>
      <w:r>
        <w:rPr>
          <w:rFonts w:ascii="Times New Roman" w:hAnsi="Times New Roman"/>
        </w:rPr>
        <w:t>B.1 Prüfvermerke nach Typ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Prüfvermerk-Typ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 an 100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Fehlerkategorie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PV-BR (BeckRS-Sperre)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A/B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PV-LM (Literatur-Modellwissen-Sperre)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PV-UV (Unvollständiges Zitat)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PV-URL (URL fehlt)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PV-RG (Rangfolge-Fehler)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PV-PG (Palandt/Gruenenberg-Verwechslung)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Prüfvermerke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B.2 Fehlerfreie Fundstellen</w:t>
      </w:r>
    </w:p>
    <w:p>
      <w:pPr>
        <w:jc w:val="left"/>
      </w:pPr>
      <w:r>
        <w:t>100 − 27 = 73 fehlerfreie Fundstellen (73 %).</w:t>
      </w:r>
    </w:p>
    <w:p/>
    <w:p>
      <w:pPr>
        <w:pStyle w:val="Heading2"/>
      </w:pPr>
      <w:r>
        <w:rPr>
          <w:rFonts w:ascii="Times New Roman" w:hAnsi="Times New Roman"/>
        </w:rPr>
        <w:t>C. Auswertung nach Fehlerkategorie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— Schwerwiegend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Inhaltlicher/rechtlicher Fehler; Halluzinationsrisiko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 — Formal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Formaler Fehler ohne inhaltliche Konsequenz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 — Empfehlung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Pflichtkorrektur; Qualitätsverbesserung möglich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D. Vergleich Pruefkorpus v3.0 (2023) vs. v4.0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v3.0 (2023)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v4.0 (2025)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Veränderung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Fundstellen 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+100 %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Fehlerquote 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-11 Prozentpunkte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Fehlerquote Kategorie 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-8 Prozentpunkte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BeckRS-Sperre-Fälle erkannt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Literatur-Sperren erkannt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 (neu in v4.0)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URL-Vollständigkeit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+31 Prozentpunkte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E. Qualitätsziele v4.1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Soll-Wert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Fehlerquote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&lt; 15 %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Fehlerquote Kategorie 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&lt; 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URL-Vollständigkeit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&gt; 90 %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BeckRS-Sperre-Erkennungsrate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Migration Bestandsschriftsätze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F. Empfehlungen</w:t>
      </w:r>
    </w:p>
    <w:p>
      <w:pPr>
        <w:pStyle w:val="ListNumber"/>
      </w:pPr>
      <w:r>
        <w:rPr>
          <w:b/>
        </w:rPr>
        <w:t>BeckRS-Sperre:</w:t>
      </w:r>
      <w:r>
        <w:t xml:space="preserve"> Lizenzstatus Beck-Online kanzleiweit dokumentieren und jährlich prüfen.</w:t>
      </w:r>
    </w:p>
    <w:p>
      <w:pPr>
        <w:pStyle w:val="ListNumber"/>
      </w:pPr>
      <w:r>
        <w:rPr>
          <w:b/>
        </w:rPr>
        <w:t>Palandt/Gruenenberg:</w:t>
      </w:r>
      <w:r>
        <w:t xml:space="preserve"> Schulungsschwerpunkt in Mitarbeiterschulung November 2025.</w:t>
      </w:r>
    </w:p>
    <w:p>
      <w:pPr>
        <w:pStyle w:val="ListNumber"/>
      </w:pPr>
      <w:r>
        <w:rPr>
          <w:b/>
        </w:rPr>
        <w:t>URL-Vollständigkeit:</w:t>
      </w:r>
      <w:r>
        <w:t xml:space="preserve"> Automatisierter URL-Check in Schriftsatz-Workflow integrieren.</w:t>
      </w:r>
    </w:p>
    <w:p>
      <w:pPr>
        <w:pStyle w:val="ListNumber"/>
      </w:pPr>
      <w:r>
        <w:rPr>
          <w:b/>
        </w:rPr>
        <w:t>Literatur-Sperren:</w:t>
      </w:r>
      <w:r>
        <w:t xml:space="preserve"> Interne Qualitätskontrolle mit realitätsnahen Schriftsatz-Szenarien (Tannenmoor JZ 2024) verankern.</w:t>
      </w:r>
    </w:p>
    <w:p>
      <w:pPr>
        <w:pStyle w:val="ListNumber"/>
      </w:pPr>
      <w:r>
        <w:rPr>
          <w:b/>
        </w:rPr>
        <w:t>Migration:</w:t>
      </w:r>
      <w:r>
        <w:t xml:space="preserve"> Geschwindigkeit auf 20 Dokumente pro Monat erhöhen; Ziel 100 % bis Januar 2026.</w:t>
      </w:r>
    </w:p>
    <w:p/>
    <w:p>
      <w:pPr>
        <w:jc w:val="left"/>
      </w:pPr>
      <w:r>
        <w:rPr>
          <w:i/>
        </w:rPr>
        <w:t>Qualitätsbericht Pruefkorpus v4.0 | Kanzlei Roosendaal Birkenhainer Partners mbB | Oktober 2025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KANZLEI 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