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Klageschrift LG Traunstein 1 O 2188/25</w:t>
      </w:r>
    </w:p>
    <w:p>
      <w:pPr>
        <w:pStyle w:val="Heading2"/>
      </w:pPr>
      <w:r>
        <w:rPr>
          <w:rFonts w:ascii="Times New Roman" w:hAnsi="Times New Roman"/>
        </w:rPr>
        <w:t>Rubrum</w:t>
      </w:r>
    </w:p>
    <w:p>
      <w:pPr>
        <w:jc w:val="left"/>
      </w:pPr>
      <w:r>
        <w:rPr>
          <w:b/>
        </w:rPr>
        <w:t>Landgericht Traunstein</w:t>
      </w:r>
    </w:p>
    <w:p>
      <w:pPr>
        <w:jc w:val="left"/>
      </w:pPr>
      <w:r>
        <w:t>Bürgerstraße 22, 83278 Traunstein</w:t>
      </w:r>
    </w:p>
    <w:p>
      <w:pPr>
        <w:jc w:val="left"/>
      </w:pPr>
      <w:r>
        <w:rPr>
          <w:b/>
        </w:rPr>
        <w:t>Klageschrift</w:t>
      </w:r>
    </w:p>
    <w:p>
      <w:pPr>
        <w:jc w:val="left"/>
      </w:pPr>
      <w:r>
        <w:t>(Abgabe aus dem Mahnverfahren AG Coburg, Az. 31 MH 1224/26)</w:t>
      </w:r>
    </w:p>
    <w:p>
      <w:pPr>
        <w:jc w:val="left"/>
      </w:pPr>
      <w:r>
        <w:t>In dem Rechtsstreit</w:t>
      </w:r>
    </w:p>
    <w:p>
      <w:pPr>
        <w:jc w:val="left"/>
      </w:pPr>
      <w:r>
        <w:rPr>
          <w:b/>
        </w:rPr>
        <w:t>Margarete Pohlmann</w:t>
      </w:r>
      <w:r>
        <w:t>, Riegerstraße 17, 83022 Rosenheim</w:t>
      </w:r>
    </w:p>
    <w:p>
      <w:pPr>
        <w:jc w:val="left"/>
      </w:pPr>
      <w:r>
        <w:t>— Klägerin —</w:t>
      </w:r>
    </w:p>
    <w:p>
      <w:pPr>
        <w:jc w:val="left"/>
      </w:pPr>
      <w:r>
        <w:t xml:space="preserve">Prozessbevollmächtigter: </w:t>
      </w:r>
      <w:r>
        <w:rPr>
          <w:b/>
        </w:rPr>
        <w:t>RA Dr. Mark Roosendaal</w:t>
      </w:r>
      <w:r>
        <w:t>, Roosendaal Rechtsanwälte, Ludwigstraße 12, 83022 Rosenheim</w:t>
      </w:r>
    </w:p>
    <w:p>
      <w:pPr>
        <w:jc w:val="left"/>
      </w:pPr>
      <w:r>
        <w:t>gegen</w:t>
      </w:r>
    </w:p>
    <w:p>
      <w:pPr>
        <w:jc w:val="left"/>
      </w:pPr>
      <w:r>
        <w:rPr>
          <w:b/>
        </w:rPr>
        <w:t>Saalbau Rosenheim GmbH</w:t>
      </w:r>
      <w:r>
        <w:t>, vertreten durch GF Kurt Saalbau-Eichenmüller, Hammerstraße 4, 83022 Rosenheim</w:t>
      </w:r>
    </w:p>
    <w:p>
      <w:pPr>
        <w:jc w:val="left"/>
      </w:pPr>
      <w:r>
        <w:t>— Beklagte —</w:t>
      </w:r>
    </w:p>
    <w:p>
      <w:pPr>
        <w:jc w:val="left"/>
      </w:pPr>
      <w:r>
        <w:t xml:space="preserve">Prozessbevollmächtigter: </w:t>
      </w:r>
      <w:r>
        <w:rPr>
          <w:b/>
        </w:rPr>
        <w:t>RA Bernhard Scholl-Mayer</w:t>
      </w:r>
      <w:r>
        <w:t>, Münchner Straße 88, 83022 Rosenheim</w:t>
      </w:r>
    </w:p>
    <w:p>
      <w:pPr>
        <w:jc w:val="left"/>
      </w:pPr>
      <w:r>
        <w:rPr>
          <w:b/>
        </w:rPr>
        <w:t>Streitwert:</w:t>
      </w:r>
      <w:r>
        <w:t xml:space="preserve"> 684.400 EUR (nach Klageerweiterung)</w:t>
      </w:r>
    </w:p>
    <w:p>
      <w:pPr>
        <w:jc w:val="left"/>
      </w:pPr>
      <w:r>
        <w:rPr>
          <w:b/>
        </w:rPr>
        <w:t>Eingereicht:</w:t>
      </w:r>
      <w:r>
        <w:t xml:space="preserve"> 01.03.2026</w:t>
      </w:r>
    </w:p>
    <w:p/>
    <w:p>
      <w:pPr>
        <w:pStyle w:val="Heading2"/>
      </w:pPr>
      <w:r>
        <w:rPr>
          <w:rFonts w:ascii="Times New Roman" w:hAnsi="Times New Roman"/>
        </w:rPr>
        <w:t>Anträge</w:t>
      </w:r>
    </w:p>
    <w:p>
      <w:pPr>
        <w:jc w:val="left"/>
      </w:pPr>
      <w:r>
        <w:t>Die Klägerin beantragt:</w:t>
      </w:r>
    </w:p>
    <w:p>
      <w:pPr>
        <w:jc w:val="left"/>
      </w:pPr>
      <w:r>
        <w:rPr>
          <w:b/>
        </w:rPr>
        <w:t>1.</w:t>
      </w:r>
      <w:r>
        <w:t xml:space="preserve"> Die Beklagte wird verurteilt, an die Klägerin </w:t>
      </w:r>
      <w:r>
        <w:rPr>
          <w:b/>
        </w:rPr>
        <w:t>447.400 EUR</w:t>
      </w:r>
      <w:r>
        <w:t xml:space="preserve"> nebst Zinsen in Höhe von 5 Prozentpunkten über dem jeweiligen Basiszinssatz seit dem 25.06.2024 zu zahlen.</w:t>
      </w:r>
    </w:p>
    <w:p>
      <w:pPr>
        <w:jc w:val="left"/>
      </w:pPr>
      <w:r>
        <w:rPr>
          <w:b/>
        </w:rPr>
        <w:t>2.</w:t>
      </w:r>
      <w:r>
        <w:t xml:space="preserve"> Es wird festgestellt, dass die Beklagte verpflichtet ist, der Klägerin sämtliche weiteren Schäden zu ersetzen, die aus den im Abnahmeprotokoll vom 20.03.2024 vorbehaltenen Mängeln entstehen (Feststellungsantrag für Folgeschäden).</w:t>
      </w:r>
    </w:p>
    <w:p>
      <w:pPr>
        <w:jc w:val="left"/>
      </w:pPr>
      <w:r>
        <w:rPr>
          <w:b/>
        </w:rPr>
        <w:t>3.</w:t>
      </w:r>
      <w:r>
        <w:t xml:space="preserve"> Die Beklagte trägt die Kosten des Rechtsstreits.</w:t>
      </w:r>
    </w:p>
    <w:p>
      <w:pPr>
        <w:jc w:val="left"/>
      </w:pPr>
      <w:r>
        <w:rPr>
          <w:b/>
        </w:rPr>
        <w:t>4.</w:t>
      </w:r>
      <w:r>
        <w:t xml:space="preserve"> Das Urteil ist vorläufig vollstreckbar.</w:t>
      </w:r>
    </w:p>
    <w:p/>
    <w:p>
      <w:pPr>
        <w:pStyle w:val="Heading2"/>
      </w:pPr>
      <w:r>
        <w:rPr>
          <w:rFonts w:ascii="Times New Roman" w:hAnsi="Times New Roman"/>
        </w:rPr>
        <w:t>Sachverhaltsdarstellung</w:t>
      </w:r>
    </w:p>
    <w:p>
      <w:pPr>
        <w:pStyle w:val="Heading3"/>
      </w:pPr>
      <w:r>
        <w:rPr>
          <w:rFonts w:ascii="Times New Roman" w:hAnsi="Times New Roman"/>
        </w:rPr>
        <w:t>I. Werkvertrag und Vertragsinhalt</w:t>
      </w:r>
    </w:p>
    <w:p>
      <w:pPr>
        <w:jc w:val="left"/>
      </w:pPr>
      <w:r>
        <w:t>Die Klägerin schloss mit der Beklagten am 12.03.2022 einen Werkvertrag über die schlüsselfertige Errichtung eines Einfamilienhauses auf dem Grundstück Riegerstraße 17, 83022 Rosenheim (Flurstück 1742/4, Gemarkung Rosenheim-Mitte) zum Festpreis von 645.000 EUR netto. Die Fertigstellungspflicht war zum 30.09.2023 vereinbart; die Beklagte hat die Fertigstellung erst am 20.03.2024 erreicht (Verzug: 172 Kalendertage). Insoweit besteht ein Vertragsstrafe-Anspruch von 0,3 % x 172 x 645.000 EUR = 332.820 EUR, beschränkt auf 5 % = 32.250 EUR — in die Klageforderung einbezogen unter Position Verzögerungsschaden.</w:t>
      </w:r>
    </w:p>
    <w:p>
      <w:pPr>
        <w:pStyle w:val="Heading3"/>
      </w:pPr>
      <w:r>
        <w:rPr>
          <w:rFonts w:ascii="Times New Roman" w:hAnsi="Times New Roman"/>
        </w:rPr>
        <w:t>II. Bodenkontamination und Mehrkosten (§ 280 BGB)</w:t>
      </w:r>
    </w:p>
    <w:p>
      <w:pPr>
        <w:jc w:val="left"/>
      </w:pPr>
      <w:r>
        <w:t>Die Beklagte hat trotz Kenntnis des Kontaminationsverdachts (Schreiben Ing. Büro Weidinger vom 22.04.2022) keine Voruntersuchung des Baugrundes veranlasst und die Klägerin über den Befund über 40 Tage im Unklaren gelassen. Die Mehrkosten des Bodenaustausches in Höhe von 112.000 EUR hat die Beklagte der Klägerin in Rechnung gestellt und mit Werklohn aufgerechnet. Die AGB-Klausel § 9 des Vertrages (Abwälzung unvorhergesehener Bodenverhältnisse) ist nach § 307 Abs. 1 BGB unwirksam, da sie den Auftragnehmer von seiner Hinweispflicht entlastet, obwohl dieser als Fachunternehmen zur Voruntersuchung verpflichtet ist (BGH VII ZR 282/14; openjur.de). Der Bodenaustausch hätte bei ordnungsgemäßer Voruntersuchung vermieden oder erheblich reduziert werden können.</w:t>
      </w:r>
    </w:p>
    <w:p>
      <w:pPr>
        <w:pStyle w:val="Heading3"/>
      </w:pPr>
      <w:r>
        <w:rPr>
          <w:rFonts w:ascii="Times New Roman" w:hAnsi="Times New Roman"/>
        </w:rPr>
        <w:t>III. Baumängel (§ 633, § 634 BGB)</w:t>
      </w:r>
    </w:p>
    <w:p>
      <w:pPr>
        <w:jc w:val="left"/>
      </w:pPr>
      <w:r>
        <w:t>Die folgenden Mängel wurden im Abnahmeprotokoll vom 20.03.2024 vermerkt und von der Beklagten bis zur Klageerhebung nicht beseitigt:</w:t>
      </w:r>
    </w:p>
    <w:p>
      <w:pPr>
        <w:jc w:val="left"/>
      </w:pPr>
      <w:r>
        <w:rPr>
          <w:b/>
        </w:rPr>
        <w:t>Mangel 1 — Kellerrisse:</w:t>
      </w:r>
      <w:r>
        <w:t xml:space="preserve"> Zwei Querrisse Außenmauerwerk, Breite 1,0–1,2 mm. Ursache laut Vorab-Stellungnahme Dipl.-Ing. Zeyer: mangelhafter Beton (zu geringer w/z-Wert, Carbonatisierung). Mangelbeseitigungskosten: ca. 28.000 EUR.</w:t>
      </w:r>
    </w:p>
    <w:p>
      <w:pPr>
        <w:jc w:val="left"/>
      </w:pPr>
      <w:r>
        <w:rPr>
          <w:b/>
        </w:rPr>
        <w:t>Mangel 2 — Schallschutz:</w:t>
      </w:r>
      <w:r>
        <w:t xml:space="preserve"> Messung ergibt 32 dB statt vertraglich/normativ erforderlich 40 dB (DIN 4109-1). Kosten Nachrüstung: ca. 18.000 EUR.</w:t>
      </w:r>
    </w:p>
    <w:p>
      <w:pPr>
        <w:jc w:val="left"/>
      </w:pPr>
      <w:r>
        <w:rPr>
          <w:b/>
        </w:rPr>
        <w:t>Mangel 3 — Dachentwässerung:</w:t>
      </w:r>
      <w:r>
        <w:t xml:space="preserve"> Undichtigkeiten am nördlichen Traufbereich; Schäden Dezember 2023 nachgewiesen. Kosten Dachabdichtung: ca. 24.000 EUR.</w:t>
      </w:r>
    </w:p>
    <w:p>
      <w:pPr>
        <w:jc w:val="left"/>
      </w:pPr>
      <w:r>
        <w:rPr>
          <w:b/>
        </w:rPr>
        <w:t>Mangel 4 — Wärmedämmung:</w:t>
      </w:r>
      <w:r>
        <w:t xml:space="preserve"> U-Wert Kellerdecke 0,47 statt 0,30 W/m²K. Kosten Nachbesserung: ca. 17.000 EUR.</w:t>
      </w:r>
    </w:p>
    <w:p>
      <w:pPr>
        <w:jc w:val="left"/>
      </w:pPr>
      <w:r>
        <w:rPr>
          <w:b/>
        </w:rPr>
        <w:t>Gesamte Mangelbeseitigungskosten Positionen 1–4:</w:t>
      </w:r>
      <w:r>
        <w:t xml:space="preserve"> 87.000 EUR.</w:t>
      </w:r>
    </w:p>
    <w:p>
      <w:pPr>
        <w:pStyle w:val="Heading3"/>
      </w:pPr>
      <w:r>
        <w:rPr>
          <w:rFonts w:ascii="Times New Roman" w:hAnsi="Times New Roman"/>
        </w:rPr>
        <w:t>IV. Minderung (§ 638 BGB)</w:t>
      </w:r>
    </w:p>
    <w:p>
      <w:pPr>
        <w:jc w:val="left"/>
      </w:pPr>
      <w:r>
        <w:t>Hilfsweise für den Fall, dass Nacherfüllung der Mängel nicht möglich oder nicht zumutbar ist, macht die Klägerin Minderung des Werklohns geltend. Die Minderungsberechnung nach der relativen Berechnungsmethode ergibt: Mangelfreier Wert 645.000 EUR, mangelhafter Wert nach Sachverständigenbewertung 543.000 EUR, Minderungsquote 15,8 %, Minderungsbetrag 210.000 EUR (gerundet).</w:t>
      </w:r>
    </w:p>
    <w:p>
      <w:pPr>
        <w:pStyle w:val="Heading3"/>
      </w:pPr>
      <w:r>
        <w:rPr>
          <w:rFonts w:ascii="Times New Roman" w:hAnsi="Times New Roman"/>
        </w:rPr>
        <w:t>V. Verzögerungsschaden</w:t>
      </w:r>
    </w:p>
    <w:p>
      <w:pPr>
        <w:jc w:val="left"/>
      </w:pPr>
      <w:r>
        <w:t>Die Klägerin musste infolge der Bauverzögerung vom 01.10.2023 bis 31.03.2024 (6 Monate) eine Mietwohnung in Rosenheim bewohnen. Mietaufwand: 2.400 EUR/Monat x 6 = 14.400 EUR. Zuzüglich Umzugskosten 24.000 EUR = Verzögerungsschaden 38.400 EUR.</w:t>
      </w:r>
    </w:p>
    <w:p/>
    <w:p>
      <w:pPr>
        <w:pStyle w:val="Heading2"/>
      </w:pPr>
      <w:r>
        <w:rPr>
          <w:rFonts w:ascii="Times New Roman" w:hAnsi="Times New Roman"/>
        </w:rPr>
        <w:t>Rechtliche Würdigung</w:t>
      </w:r>
    </w:p>
    <w:p>
      <w:pPr>
        <w:jc w:val="left"/>
      </w:pPr>
      <w:r>
        <w:t>Die Klägerin stützt ihre Ansprüche auf:</w:t>
      </w:r>
    </w:p>
    <w:p>
      <w:pPr>
        <w:pStyle w:val="ListBullet"/>
      </w:pPr>
      <w:r>
        <w:t>§ 634 Nr. 4 i.V.m. § 280 Abs. 1, § 281 BGB (Schadensersatz statt der Leistung wegen nicht fristgerechter Mangelbeseitigung)</w:t>
      </w:r>
    </w:p>
    <w:p>
      <w:pPr>
        <w:pStyle w:val="ListBullet"/>
      </w:pPr>
      <w:r>
        <w:t>§ 634 Nr. 4 i.V.m. § 280 Abs. 1 BGB (Schadensersatz neben der Leistung für Mangelfolgeschäden)</w:t>
      </w:r>
    </w:p>
    <w:p>
      <w:pPr>
        <w:pStyle w:val="ListBullet"/>
      </w:pPr>
      <w:r>
        <w:t>§ 638 BGB (Minderung, hilfsweise)</w:t>
      </w:r>
    </w:p>
    <w:p>
      <w:pPr>
        <w:pStyle w:val="ListBullet"/>
      </w:pPr>
      <w:r>
        <w:t>§ 307 BGB (Unwirksamkeit § 9 Werkvertrag)</w:t>
      </w:r>
    </w:p>
    <w:p>
      <w:pPr>
        <w:pStyle w:val="ListBullet"/>
      </w:pPr>
      <w:r>
        <w:t>§§ 286, 288 BGB (Verzugszinsen)</w:t>
      </w:r>
    </w:p>
    <w:p>
      <w:pPr>
        <w:jc w:val="left"/>
      </w:pPr>
      <w:r>
        <w:t>Beweis: Zeugnis Kurt Saalbau-Eichenmüller, Zeugnis Dipl.-Ing. Weidinger (Ingenieurbüro), Sachverständigengutachten, Urkunden (Werkvertrag, Abnahmeprotokoll, Schriftwechsel).</w:t>
      </w:r>
    </w:p>
    <w:p/>
    <w:p>
      <w:pPr>
        <w:pStyle w:val="Heading2"/>
      </w:pPr>
      <w:r>
        <w:rPr>
          <w:rFonts w:ascii="Times New Roman" w:hAnsi="Times New Roman"/>
        </w:rPr>
        <w:t>Quellen</w:t>
      </w:r>
    </w:p>
    <w:p>
      <w:pPr>
        <w:pStyle w:val="ListBullet"/>
      </w:pPr>
      <w:r>
        <w:t>ZPO §§ 253, 264 — dejure.org/gesetze/ZPO/253.html</w:t>
      </w:r>
    </w:p>
    <w:p>
      <w:pPr>
        <w:pStyle w:val="ListBullet"/>
      </w:pPr>
      <w:r>
        <w:t>BGB §§ 631, 633, 634, 636, 638 — dejure.org/gesetze/BGB</w:t>
      </w:r>
    </w:p>
    <w:p>
      <w:pPr>
        <w:pStyle w:val="ListBullet"/>
      </w:pPr>
      <w:r>
        <w:t>BGH VII ZR 282/14 — bundesgerichtshof.de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Traunstein</w:t>
    </w:r>
  </w:p>
  <w:p>
    <w:pPr>
      <w:jc w:val="left"/>
      <w:pBdr>
        <w:bottom w:val="single" w:sz="6" w:space="2" w:color="3B3F45"/>
      </w:pBdr>
    </w:pPr>
    <w:r>
      <w:rPr>
        <w:rFonts w:ascii="Times New Roman" w:hAnsi="Times New Roman"/>
        <w:color w:val="6B6B66"/>
        <w:sz w:val="16"/>
      </w:rPr>
      <w:t>Gericht · 1 O 2188/25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