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Beweisbeschluss und Sachverständigenbestellung (LG Traunstein)</w:t>
      </w:r>
    </w:p>
    <w:p>
      <w:pPr>
        <w:pStyle w:val="Heading2"/>
      </w:pPr>
      <w:r>
        <w:rPr>
          <w:rFonts w:ascii="Times New Roman" w:hAnsi="Times New Roman"/>
        </w:rPr>
        <w:t>Beweisbeschluss vom 10.08.2026</w:t>
      </w:r>
    </w:p>
    <w:p>
      <w:pPr>
        <w:jc w:val="left"/>
      </w:pPr>
      <w:r>
        <w:rPr>
          <w:b/>
        </w:rPr>
        <w:t>Az.:</w:t>
      </w:r>
      <w:r>
        <w:t xml:space="preserve"> LG Traunstein 1 O 2188/25</w:t>
      </w:r>
    </w:p>
    <w:p>
      <w:pPr>
        <w:jc w:val="left"/>
      </w:pPr>
      <w:r>
        <w:rPr>
          <w:b/>
        </w:rPr>
        <w:t>Kammer:</w:t>
      </w:r>
      <w:r>
        <w:t xml:space="preserve"> 1. Zivilkammer</w:t>
      </w:r>
    </w:p>
    <w:p>
      <w:pPr>
        <w:jc w:val="left"/>
      </w:pPr>
      <w:r>
        <w:rPr>
          <w:b/>
        </w:rPr>
        <w:t>Vorsitzende:</w:t>
      </w:r>
      <w:r>
        <w:t xml:space="preserve"> VRiLG Dr. Anke Willms-Faber</w:t>
      </w:r>
    </w:p>
    <w:p/>
    <w:p>
      <w:pPr>
        <w:pStyle w:val="Heading2"/>
      </w:pPr>
      <w:r>
        <w:rPr>
          <w:rFonts w:ascii="Times New Roman" w:hAnsi="Times New Roman"/>
        </w:rPr>
        <w:t>Beschluss</w:t>
      </w:r>
    </w:p>
    <w:p>
      <w:pPr>
        <w:jc w:val="left"/>
      </w:pPr>
      <w:r>
        <w:t>Die 1. Zivilkammer des Landgerichts Traunstein beschließt nach mündlicher Verhandlung vom 05.08.2026:</w:t>
      </w:r>
    </w:p>
    <w:p>
      <w:pPr>
        <w:jc w:val="left"/>
      </w:pPr>
      <w:r>
        <w:rPr>
          <w:b/>
        </w:rPr>
        <w:t>I. Beweisbeschluss (§§ 402, 404 ZPO)</w:t>
      </w:r>
    </w:p>
    <w:p>
      <w:pPr>
        <w:jc w:val="left"/>
      </w:pPr>
      <w:r>
        <w:t>Über die folgenden Tatsachen soll Beweis erhoben werden durch Einholung eines Sachverständigengutachtens:</w:t>
      </w:r>
    </w:p>
    <w:p>
      <w:pPr>
        <w:jc w:val="left"/>
      </w:pPr>
      <w:r>
        <w:rPr>
          <w:b/>
        </w:rPr>
        <w:t>Beweisfrage 1:</w:t>
      </w:r>
      <w:r>
        <w:t xml:space="preserve"> Entsprechen die im Abnahmeprotokoll vom 20.03.2024 vorbehaltenen Mängel (Kellerrisse, Schallschutz, Dachentwässerung, Wärmedämmung Kellerdecke) den anerkannten Regeln der Technik und den vertraglichen Anforderungen?</w:t>
      </w:r>
    </w:p>
    <w:p>
      <w:pPr>
        <w:jc w:val="left"/>
      </w:pPr>
      <w:r>
        <w:rPr>
          <w:b/>
        </w:rPr>
        <w:t>Beweisfrage 2:</w:t>
      </w:r>
      <w:r>
        <w:t xml:space="preserve"> Wie hoch sind die erforderlichen Mangelbeseitigungskosten für jeden einzelnen Mangel (Einzelkosten und Gesamtkosten)?</w:t>
      </w:r>
    </w:p>
    <w:p>
      <w:pPr>
        <w:jc w:val="left"/>
      </w:pPr>
      <w:r>
        <w:rPr>
          <w:b/>
        </w:rPr>
        <w:t>Beweisfrage 3:</w:t>
      </w:r>
      <w:r>
        <w:t xml:space="preserve"> Ist die Dachentwässerungsanlage am Norddach nach DIN EN 12056-3 ordnungsgemäß dimensioniert und ausgeführt?</w:t>
      </w:r>
    </w:p>
    <w:p>
      <w:pPr>
        <w:jc w:val="left"/>
      </w:pPr>
      <w:r>
        <w:rPr>
          <w:b/>
        </w:rPr>
        <w:t>Beweisfrage 4:</w:t>
      </w:r>
      <w:r>
        <w:t xml:space="preserve"> Besteht ein Kausalzusammenhang zwischen dem Mangel an der Dachentwässerung und den Feuchtigkeitsschäden im Erdgeschoss (Schimmel, Parkettschäden Oktober 2024 bis Februar 2025)? Wie hoch sind die dadurch entstandenen Schäden?</w:t>
      </w:r>
    </w:p>
    <w:p>
      <w:pPr>
        <w:jc w:val="left"/>
      </w:pPr>
      <w:r>
        <w:rPr>
          <w:b/>
        </w:rPr>
        <w:t>Beweisfrage 5:</w:t>
      </w:r>
      <w:r>
        <w:t xml:space="preserve"> Welche Minderung des vereinbarten Werklohns ist aufgrund der festgestellten Mängel nach der relativen Berechnungsmethode sachlich gerechtfertigt?</w:t>
      </w:r>
    </w:p>
    <w:p>
      <w:pPr>
        <w:jc w:val="left"/>
      </w:pPr>
      <w:r>
        <w:rPr>
          <w:b/>
        </w:rPr>
        <w:t>II. Sachverständigenbestellung</w:t>
      </w:r>
    </w:p>
    <w:p>
      <w:pPr>
        <w:jc w:val="left"/>
      </w:pPr>
      <w:r>
        <w:t>Zum Sachverständigen wird bestellt:</w:t>
      </w:r>
    </w:p>
    <w:p>
      <w:pPr>
        <w:jc w:val="left"/>
      </w:pPr>
      <w:r>
        <w:rPr>
          <w:b/>
        </w:rPr>
        <w:t>Dipl.-Ing. Friedrich Zeyer</w:t>
      </w:r>
      <w:r>
        <w:t>, Baurat a.D., Am Kosttor 8, 80331 München</w:t>
      </w:r>
    </w:p>
    <w:p>
      <w:pPr>
        <w:jc w:val="left"/>
      </w:pPr>
      <w:r>
        <w:t>(Fachrichtung: Hochbau, Baukonstruktion, Schallschutz)</w:t>
      </w:r>
    </w:p>
    <w:p>
      <w:pPr>
        <w:jc w:val="left"/>
      </w:pPr>
      <w:r>
        <w:rPr>
          <w:b/>
        </w:rPr>
        <w:t>III. Vorschuss</w:t>
      </w:r>
    </w:p>
    <w:p>
      <w:pPr>
        <w:jc w:val="left"/>
      </w:pPr>
      <w:r>
        <w:t xml:space="preserve">Die Klägerin hat binnen zwei Wochen einen Auslagenvorschuss von </w:t>
      </w:r>
      <w:r>
        <w:rPr>
          <w:b/>
        </w:rPr>
        <w:t>8.000 EUR</w:t>
      </w:r>
      <w:r>
        <w:t xml:space="preserve"> (§ 17 Abs. 1 GKG) einzuzahlen.</w:t>
      </w:r>
    </w:p>
    <w:p>
      <w:pPr>
        <w:jc w:val="left"/>
      </w:pPr>
      <w:r>
        <w:rPr>
          <w:b/>
        </w:rPr>
        <w:t>IV. Frist</w:t>
      </w:r>
    </w:p>
    <w:p>
      <w:pPr>
        <w:jc w:val="left"/>
      </w:pPr>
      <w:r>
        <w:t xml:space="preserve">Dem Sachverständigen wird eine Gutachtenerstattungsfrist bis zum </w:t>
      </w:r>
      <w:r>
        <w:rPr>
          <w:b/>
        </w:rPr>
        <w:t>15.01.2027</w:t>
      </w:r>
      <w:r>
        <w:t xml:space="preserve"> gesetzt.</w:t>
      </w:r>
    </w:p>
    <w:p/>
    <w:p>
      <w:pPr>
        <w:pStyle w:val="Heading2"/>
      </w:pPr>
      <w:r>
        <w:rPr>
          <w:rFonts w:ascii="Times New Roman" w:hAnsi="Times New Roman"/>
        </w:rPr>
        <w:t>Befangenheitsantrag der Beklagten (§ 406 ZPO)</w:t>
      </w:r>
    </w:p>
    <w:p>
      <w:pPr>
        <w:jc w:val="left"/>
      </w:pPr>
      <w:r>
        <w:t xml:space="preserve">Mit Schriftsatz vom 25.08.2026 stellt die Beklagte einen </w:t>
      </w:r>
      <w:r>
        <w:rPr>
          <w:b/>
        </w:rPr>
        <w:t>Befangenheitsantrag</w:t>
      </w:r>
      <w:r>
        <w:t xml:space="preserve"> gegen Sachverständigen Zeyer:</w:t>
      </w:r>
    </w:p>
    <w:p>
      <w:pPr>
        <w:jc w:val="left"/>
      </w:pPr>
      <w:r>
        <w:rPr>
          <w:b/>
        </w:rPr>
        <w:t>Begründung:</w:t>
      </w:r>
      <w:r>
        <w:t xml:space="preserve"> Herr Zeyer sei langjähriger Gutachter im Auftrag des TÜV Bayern, mit dem die Klägerin nach Beklagtenvortrag „in einem Beratungsverhältnis" stehe. Außerdem habe Herr Zeyer in einem früheren Verfahren (LG München I, 19 O 14327/20) ein der Klägerin günstiges Gutachten erstattet, was auf eine „strukturelle Bevorzugung von Bauherreninteressen" hindeute.</w:t>
      </w:r>
    </w:p>
    <w:p>
      <w:pPr>
        <w:jc w:val="left"/>
      </w:pPr>
      <w:r>
        <w:rPr>
          <w:b/>
        </w:rPr>
        <w:t>Stellungnahme Kanzlei Roosendaal (28.08.2026):</w:t>
      </w:r>
      <w:r>
        <w:t xml:space="preserve"> Der Befangenheitsantrag ist unzulässig. Die behauptete Verbindung zwischen Zeyer und dem TÜV Bayern ist nicht belegt. Die Erstattung eines Gutachtens in einem Vorverfahren begründet keine Befangenheit; Sachverständige dürfen nach ständiger Rechtsprechung des BGH in verschiedenen Verfahren tätig sein (BGH VI ZR 83/18; bundesgerichtshof.de). Es fehlt jeder konkrete Anhaltspunkt für die Unparteilichkeit.</w:t>
      </w:r>
    </w:p>
    <w:p>
      <w:pPr>
        <w:jc w:val="left"/>
      </w:pPr>
      <w:r>
        <w:rPr>
          <w:b/>
        </w:rPr>
        <w:t>Beschluss Gericht vom 10.09.2026:</w:t>
      </w:r>
      <w:r>
        <w:t xml:space="preserve"> Befangenheitsantrag wird zurückgewiesen. Der Antrag stützt sich auf Vermutungen, nicht auf konkrete Tatsachen. Der Sachverständige hat eine Unparteilichkeitserklärung abgegeben; kein Ablehnungsgrund nach § 406 ZPO i.V.m. §§ 41 ff. ZPO nachgewiesen.</w:t>
      </w:r>
    </w:p>
    <w:p/>
    <w:p>
      <w:pPr>
        <w:pStyle w:val="Heading2"/>
      </w:pPr>
      <w:r>
        <w:rPr>
          <w:rFonts w:ascii="Times New Roman" w:hAnsi="Times New Roman"/>
        </w:rPr>
        <w:t>Anmerkungen</w:t>
      </w:r>
    </w:p>
    <w:p>
      <w:pPr>
        <w:jc w:val="left"/>
      </w:pPr>
      <w:r>
        <w:t>Der Befangenheitsstreit führte zu einer Verzögerung von ca. 5 Wochen (25.08.–10.09.2026). Die Befangenheitsrüge ist ein klassisches Verzögerungsmanöver im Bauprozess. Das Gericht hat korrekt und zügig entschieden.</w:t>
      </w:r>
    </w:p>
    <w:p>
      <w:pPr>
        <w:jc w:val="left"/>
      </w:pPr>
      <w:r>
        <w:t>§ 406 ZPO: Die Ablehnung des Sachverständigen aus den gleichen Gründen, die zur Ablehnung eines Richters berechtigen (§ 41 ff. ZPO), erfordert konkrete, aus objektiver Sicht nachvollziehbare Ablehnungsgründe; bloße Vermutungen genügen nicht (BGH Beschluss vom 12.11.2019, VI ZB 29/19).</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Traunstein</w:t>
    </w:r>
  </w:p>
  <w:p>
    <w:pPr>
      <w:jc w:val="left"/>
      <w:pBdr>
        <w:bottom w:val="single" w:sz="6" w:space="2" w:color="3B3F45"/>
      </w:pBdr>
    </w:pPr>
    <w:r>
      <w:rPr>
        <w:rFonts w:ascii="Times New Roman" w:hAnsi="Times New Roman"/>
        <w:color w:val="6B6B66"/>
        <w:sz w:val="16"/>
      </w:rPr>
      <w:t>Gericht · Az.: LG Traunstein 1 O 2188/25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